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40" w:lineRule="exact" w:before="0" w:after="960"/>
      </w:pPr>
    </w:p>
    <w:p>
      <w:pPr>
        <w:spacing w:line="480" w:lineRule="exact" w:before="0" w:after="720"/>
        <w:jc w:val="center"/>
      </w:pPr>
      <w:r>
        <w:rPr>
          <w:rFonts w:ascii="Times New Roman" w:hAnsi="Times New Roman" w:eastAsia="SimHei"/>
          <w:b/>
          <w:i w:val="0"/>
          <w:sz w:val="32"/>
        </w:rPr>
        <w:t>硕士学位论文</w:t>
      </w:r>
    </w:p>
    <w:p>
      <w:pPr>
        <w:spacing w:line="600" w:lineRule="exact" w:before="0" w:after="960"/>
        <w:jc w:val="center"/>
      </w:pPr>
      <w:r>
        <w:rPr>
          <w:rFonts w:ascii="Times New Roman" w:hAnsi="Times New Roman" w:eastAsia="SimHei"/>
          <w:b/>
          <w:i w:val="0"/>
          <w:sz w:val="44"/>
        </w:rPr>
        <w:t>数字政府视域下政务数据治理的困境与优化路径研究</w:t>
      </w:r>
    </w:p>
    <w:p>
      <w:pPr>
        <w:spacing w:line="440" w:lineRule="exact" w:before="0" w:after="160"/>
        <w:jc w:val="center"/>
      </w:pPr>
      <w:r>
        <w:rPr>
          <w:rFonts w:ascii="Times New Roman" w:hAnsi="Times New Roman" w:eastAsia="SimSun"/>
          <w:b w:val="0"/>
          <w:i w:val="0"/>
          <w:sz w:val="24"/>
        </w:rPr>
        <w:t>专业名称：公共管理</w:t>
      </w:r>
    </w:p>
    <w:p>
      <w:pPr>
        <w:spacing w:line="440" w:lineRule="exact" w:before="0" w:after="160"/>
        <w:jc w:val="center"/>
      </w:pPr>
      <w:r>
        <w:rPr>
          <w:rFonts w:ascii="Times New Roman" w:hAnsi="Times New Roman" w:eastAsia="SimSun"/>
          <w:b w:val="0"/>
          <w:i w:val="0"/>
          <w:sz w:val="24"/>
        </w:rPr>
        <w:t>研 究 生：______</w:t>
      </w:r>
    </w:p>
    <w:p>
      <w:pPr>
        <w:spacing w:line="440" w:lineRule="exact" w:before="0" w:after="160"/>
        <w:jc w:val="center"/>
      </w:pPr>
      <w:r>
        <w:rPr>
          <w:rFonts w:ascii="Times New Roman" w:hAnsi="Times New Roman" w:eastAsia="SimSun"/>
          <w:b w:val="0"/>
          <w:i w:val="0"/>
          <w:sz w:val="24"/>
        </w:rPr>
        <w:t>指导教师：______</w:t>
      </w:r>
    </w:p>
    <w:p>
      <w:pPr>
        <w:spacing w:line="440" w:lineRule="exact" w:before="0" w:after="160"/>
        <w:jc w:val="center"/>
      </w:pPr>
      <w:r>
        <w:rPr>
          <w:rFonts w:ascii="Times New Roman" w:hAnsi="Times New Roman" w:eastAsia="SimSun"/>
          <w:b w:val="0"/>
          <w:i w:val="0"/>
          <w:sz w:val="24"/>
        </w:rPr>
        <w:t>完成日期：______</w:t>
      </w:r>
    </w:p>
    <w:p>
      <w:r>
        <w:br w:type="page"/>
      </w:r>
    </w:p>
    <w:p>
      <w:pPr>
        <w:spacing w:line="480" w:lineRule="exact" w:before="240" w:after="360"/>
        <w:jc w:val="center"/>
      </w:pPr>
      <w:r>
        <w:rPr>
          <w:rFonts w:ascii="Times New Roman" w:hAnsi="Times New Roman" w:eastAsia="SimHei"/>
          <w:b/>
          <w:i w:val="0"/>
          <w:sz w:val="32"/>
        </w:rPr>
        <w:t>独创性声明</w:t>
      </w:r>
    </w:p>
    <w:p>
      <w:pPr>
        <w:spacing w:line="440" w:lineRule="exact" w:before="0" w:after="0"/>
        <w:ind w:firstLine="480"/>
        <w:jc w:val="both"/>
      </w:pPr>
      <w:r>
        <w:rPr>
          <w:rFonts w:ascii="Times New Roman" w:hAnsi="Times New Roman" w:eastAsia="SimSun"/>
          <w:b w:val="0"/>
          <w:i w:val="0"/>
          <w:sz w:val="24"/>
        </w:rPr>
        <w:t>本人声明所呈交的学位论文是本人在导师指导下进行的研究工作及取得的研究成果。据我所知，除了文中特别加以标注和致谢的地方外，论文中不包含其他人已经发表或撰写过的研究成果，也不包含为获得其他教育机构的学位或证书而使用过的材料。与我一同工作的同志对本研究所做的任何贡献均已在论文中作了明确的说明并表示谢意。</w:t>
      </w:r>
    </w:p>
    <w:p>
      <w:pPr>
        <w:spacing w:line="440" w:lineRule="exact" w:before="0" w:after="120"/>
      </w:pPr>
    </w:p>
    <w:p>
      <w:pPr>
        <w:spacing w:line="440" w:lineRule="exact" w:before="0" w:after="480"/>
      </w:pPr>
      <w:r>
        <w:rPr>
          <w:rFonts w:ascii="Times New Roman" w:hAnsi="Times New Roman" w:eastAsia="SimSun"/>
          <w:b w:val="0"/>
          <w:i w:val="0"/>
          <w:sz w:val="24"/>
        </w:rPr>
        <w:t>学位论文作者签名：______          签字日期：______年______月______日</w:t>
      </w:r>
    </w:p>
    <w:p>
      <w:pPr>
        <w:spacing w:line="480" w:lineRule="exact" w:before="240" w:after="360"/>
        <w:jc w:val="center"/>
      </w:pPr>
      <w:r>
        <w:rPr>
          <w:rFonts w:ascii="Times New Roman" w:hAnsi="Times New Roman" w:eastAsia="SimHei"/>
          <w:b/>
          <w:i w:val="0"/>
          <w:sz w:val="32"/>
        </w:rPr>
        <w:t>学位论文版权使用授权书</w:t>
      </w:r>
    </w:p>
    <w:p>
      <w:pPr>
        <w:spacing w:line="440" w:lineRule="exact" w:before="0" w:after="0"/>
        <w:ind w:firstLine="480"/>
        <w:jc w:val="both"/>
      </w:pPr>
      <w:r>
        <w:rPr>
          <w:rFonts w:ascii="Times New Roman" w:hAnsi="Times New Roman" w:eastAsia="SimSun"/>
          <w:b w:val="0"/>
          <w:i w:val="0"/>
          <w:sz w:val="24"/>
        </w:rPr>
        <w:t>本学位论文作者完全了解学校有关保留、使用学位论文的规定，即：学校有权保留并向国家有关部门或机构送交论文的复印件和磁盘，允许论文被查阅和借阅。本人授权学校可以将学位论文的全部或部分内容编入有关数据库进行检索，可以采用影印、缩印或扫描等复制手段保存、汇编学位论文。</w:t>
      </w:r>
    </w:p>
    <w:p>
      <w:pPr>
        <w:spacing w:line="440" w:lineRule="exact" w:before="0" w:after="120"/>
      </w:pPr>
    </w:p>
    <w:p>
      <w:pPr>
        <w:spacing w:line="440" w:lineRule="exact" w:before="0" w:after="120"/>
      </w:pPr>
      <w:r>
        <w:rPr>
          <w:rFonts w:ascii="Times New Roman" w:hAnsi="Times New Roman" w:eastAsia="SimSun"/>
          <w:b w:val="0"/>
          <w:i w:val="0"/>
          <w:sz w:val="24"/>
        </w:rPr>
        <w:t>学位论文作者签名：______          导师签名：______</w:t>
      </w:r>
    </w:p>
    <w:p>
      <w:pPr>
        <w:spacing w:line="440" w:lineRule="exact" w:before="0" w:after="120"/>
      </w:pPr>
      <w:r>
        <w:rPr>
          <w:rFonts w:ascii="Times New Roman" w:hAnsi="Times New Roman" w:eastAsia="SimSun"/>
          <w:b w:val="0"/>
          <w:i w:val="0"/>
          <w:sz w:val="24"/>
        </w:rPr>
        <w:t>签字日期：______年______月______日    签字日期：______年______月______日</w:t>
      </w:r>
    </w:p>
    <w:p>
      <w:r>
        <w:br w:type="page"/>
      </w:r>
    </w:p>
    <w:p>
      <w:pPr>
        <w:sectPr>
          <w:pgSz w:w="11906" w:h="16838"/>
          <w:pgMar w:top="1701" w:right="1417" w:bottom="1417" w:left="1701" w:header="720" w:footer="720" w:gutter="0"/>
          <w:cols w:space="720"/>
          <w:titlePg/>
          <w:docGrid w:linePitch="360"/>
        </w:sectPr>
      </w:pPr>
    </w:p>
    <w:p>
      <w:pPr>
        <w:spacing w:line="480" w:lineRule="exact" w:before="240" w:after="360"/>
        <w:jc w:val="center"/>
      </w:pPr>
      <w:r>
        <w:rPr>
          <w:rFonts w:ascii="Times New Roman" w:hAnsi="Times New Roman" w:eastAsia="SimHei"/>
          <w:b/>
          <w:i w:val="0"/>
          <w:sz w:val="32"/>
        </w:rPr>
        <w:t>摘  要</w:t>
      </w:r>
    </w:p>
    <w:p>
      <w:pPr>
        <w:spacing w:line="440" w:lineRule="exact" w:before="0" w:after="0"/>
        <w:ind w:firstLine="480"/>
        <w:jc w:val="both"/>
      </w:pPr>
      <w:r>
        <w:rPr>
          <w:rFonts w:ascii="Times New Roman" w:hAnsi="Times New Roman" w:eastAsia="KaiTi"/>
          <w:b w:val="0"/>
          <w:i w:val="0"/>
          <w:sz w:val="24"/>
        </w:rPr>
        <w:t>随着大数据、云计算等新一代信息技术的快速发展，数字政府建设已成为推进国家治理体系和治理能力现代化的重要引擎。政务数据作为关键生产要素，其治理效能直接决定了数字政府的运行效率与服务水平。然而，当前我国政务数据治理仍面临“数据孤岛”、标准缺失、安全隐私风险及协同机制不畅等深层次矛盾，制约了数据价值的充分释放。</w:t>
      </w:r>
    </w:p>
    <w:p>
      <w:pPr>
        <w:spacing w:line="440" w:lineRule="exact" w:before="0" w:after="0"/>
        <w:ind w:firstLine="480"/>
        <w:jc w:val="both"/>
      </w:pPr>
      <w:r>
        <w:rPr>
          <w:rFonts w:ascii="Times New Roman" w:hAnsi="Times New Roman" w:eastAsia="KaiTi"/>
          <w:b w:val="0"/>
          <w:i w:val="0"/>
          <w:sz w:val="24"/>
        </w:rPr>
        <w:t>本研究基于整体性治理理论与数据生命周期理论，构建“制度-技术-组织”三维分析框架，系统梳理国内外政务数据治理的实践模式与经验启示。通过案例分析与比较研究，深入剖析我国政务数据治理在共享开放、安全防护及体制机制方面的现实困境及其成因。研究发现，条块分割的行政体制、滞后的法律法规体系以及技术标准的非兼容性是阻碍数据高效流动的主要障碍。</w:t>
      </w:r>
    </w:p>
    <w:p>
      <w:pPr>
        <w:spacing w:line="440" w:lineRule="exact" w:before="0" w:after="0"/>
        <w:ind w:firstLine="480"/>
        <w:jc w:val="both"/>
      </w:pPr>
      <w:r>
        <w:rPr>
          <w:rFonts w:ascii="Times New Roman" w:hAnsi="Times New Roman" w:eastAsia="KaiTi"/>
          <w:b w:val="0"/>
          <w:i w:val="0"/>
          <w:sz w:val="24"/>
        </w:rPr>
        <w:t>预期创新点包括：（1）构建基于整体性治理视角的政务数据治理多维分析框架，弥补单一技术或制度视角的不足；（2）提出“制度重塑+技术赋能+组织协同”的综合优化路径，强调跨部门协同机制与数据安全合规的动态平衡；（3）结合典型地区实践案例，提炼可复制推广的政务数据治理模式。</w:t>
      </w:r>
    </w:p>
    <w:p>
      <w:pPr>
        <w:spacing w:line="440" w:lineRule="exact" w:before="0" w:after="0"/>
        <w:ind w:firstLine="480"/>
        <w:jc w:val="both"/>
      </w:pPr>
      <w:r>
        <w:rPr>
          <w:rFonts w:ascii="Times New Roman" w:hAnsi="Times New Roman" w:eastAsia="KaiTi"/>
          <w:b w:val="0"/>
          <w:i w:val="0"/>
          <w:sz w:val="24"/>
        </w:rPr>
        <w:t>研究结论认为，应通过完善顶层设计、健全法律法规、统一技术标准及强化多元主体协同，构建敏捷高效、安全可控的政务数据治理体系，从而提升数字政府的整体智治水平。</w:t>
      </w:r>
    </w:p>
    <w:p>
      <w:pPr>
        <w:spacing w:line="440" w:lineRule="exact" w:before="240" w:after="120"/>
      </w:pPr>
      <w:r>
        <w:rPr>
          <w:rFonts w:ascii="Times New Roman" w:hAnsi="Times New Roman" w:eastAsia="SimHei"/>
          <w:b w:val="0"/>
          <w:i w:val="0"/>
          <w:sz w:val="24"/>
        </w:rPr>
        <w:t>关键词：数字政府；政务数据治理；数据共享；整体性治理；数据安全</w:t>
      </w:r>
    </w:p>
    <w:p>
      <w:r>
        <w:br w:type="page"/>
      </w:r>
    </w:p>
    <w:p>
      <w:pPr>
        <w:spacing w:line="480" w:lineRule="exact" w:before="240" w:after="360"/>
        <w:jc w:val="center"/>
      </w:pPr>
      <w:r>
        <w:rPr>
          <w:rFonts w:ascii="Times New Roman" w:hAnsi="Times New Roman" w:eastAsia="SimHei"/>
          <w:b/>
          <w:i w:val="0"/>
          <w:sz w:val="32"/>
        </w:rPr>
        <w:t>ABSTRACT</w:t>
      </w:r>
    </w:p>
    <w:p>
      <w:pPr>
        <w:spacing w:line="440" w:lineRule="exact" w:before="0" w:after="0"/>
        <w:ind w:firstLine="480"/>
        <w:jc w:val="both"/>
      </w:pPr>
      <w:r>
        <w:rPr>
          <w:rFonts w:ascii="Times New Roman" w:hAnsi="Times New Roman" w:eastAsia="Times New Roman"/>
          <w:b w:val="0"/>
          <w:i w:val="0"/>
          <w:sz w:val="24"/>
        </w:rPr>
        <w:t>With the rapid development of new-generation information technologies such as big data and cloud computing, digital government construction has become a key engine for promoting the modernization of national governance systems and capabilities. As a critical production factor, the governance efficiency of government data directly determines the operational efficiency and service level of digital governments. However, current government data governance in China still faces deep-seated contradictions such as 'data silos', lack of standards, security and privacy risks, and poor coordination mechanisms, which restrict the full release of data value.</w:t>
      </w:r>
    </w:p>
    <w:p>
      <w:pPr>
        <w:spacing w:line="440" w:lineRule="exact" w:before="0" w:after="0"/>
        <w:ind w:firstLine="480"/>
        <w:jc w:val="both"/>
      </w:pPr>
      <w:r>
        <w:rPr>
          <w:rFonts w:ascii="Times New Roman" w:hAnsi="Times New Roman" w:eastAsia="Times New Roman"/>
          <w:b w:val="0"/>
          <w:i w:val="0"/>
          <w:sz w:val="24"/>
        </w:rPr>
        <w:t>Based on Holistic Governance Theory and Data Lifecycle Theory, this study constructs a three-dimensional analysis framework of 'institution-technology-organization' to systematically review practical models and experiences of government data governance domestically and internationally. Through case studies and comparative analysis, it deeply analyzes the realistic dilemmas and causes of China's government data governance in terms of sharing and opening, security protection, and institutional mechanisms. The study finds that the fragmented administrative system, lagging legal and regulatory frameworks, and incompatibility of technical standards are the main obstacles hindering efficient data flow.</w:t>
      </w:r>
    </w:p>
    <w:p>
      <w:pPr>
        <w:spacing w:line="440" w:lineRule="exact" w:before="0" w:after="0"/>
        <w:ind w:firstLine="480"/>
        <w:jc w:val="both"/>
      </w:pPr>
      <w:r>
        <w:rPr>
          <w:rFonts w:ascii="Times New Roman" w:hAnsi="Times New Roman" w:eastAsia="Times New Roman"/>
          <w:b w:val="0"/>
          <w:i w:val="0"/>
          <w:sz w:val="24"/>
        </w:rPr>
        <w:t>The expected innovations include: (1) constructing a multi-dimensional analysis framework for government data governance from the perspective of holistic governance, making up for the deficiencies of single technical or institutional perspectives; (2) proposing a comprehensive optimization path of 'institutional reshaping + technological empowerment + organizational coordination', emphasizing the dynamic balance between cross-departmental coordination mechanisms and data security compliance; (3) summarizing replicable and promotable government data governance models based on typical regional practice cases.</w:t>
      </w:r>
    </w:p>
    <w:p>
      <w:pPr>
        <w:spacing w:line="440" w:lineRule="exact" w:before="0" w:after="0"/>
        <w:ind w:firstLine="480"/>
        <w:jc w:val="both"/>
      </w:pPr>
      <w:r>
        <w:rPr>
          <w:rFonts w:ascii="Times New Roman" w:hAnsi="Times New Roman" w:eastAsia="Times New Roman"/>
          <w:b w:val="0"/>
          <w:i w:val="0"/>
          <w:sz w:val="24"/>
        </w:rPr>
        <w:t>The conclusion suggests that by improving top-level design, sound legal regulations, unified technical standards, and strengthening multi-subject coordination, an agile, efficient, secure, and controllable government data governance system should be constructed to enhance the overall intelligent governance level of digital government.</w:t>
      </w:r>
    </w:p>
    <w:p>
      <w:pPr>
        <w:spacing w:line="440" w:lineRule="exact" w:before="240" w:after="120"/>
      </w:pPr>
      <w:r>
        <w:rPr>
          <w:rFonts w:ascii="Times New Roman" w:hAnsi="Times New Roman" w:eastAsia="Times New Roman"/>
          <w:b w:val="0"/>
          <w:i w:val="0"/>
          <w:sz w:val="24"/>
        </w:rPr>
        <w:t>Keywords: Digital Government; Government Data Governance; Data Sharing; Holistic Governance; Data Security</w:t>
      </w:r>
    </w:p>
    <w:p>
      <w:r>
        <w:br w:type="page"/>
      </w:r>
    </w:p>
    <w:p>
      <w:pPr>
        <w:spacing w:line="480" w:lineRule="exact" w:before="960" w:after="480"/>
        <w:jc w:val="center"/>
      </w:pPr>
      <w:r>
        <w:rPr>
          <w:rFonts w:ascii="Times New Roman" w:hAnsi="Times New Roman" w:eastAsia="SimHei"/>
          <w:b/>
          <w:i w:val="0"/>
          <w:sz w:val="32"/>
        </w:rPr>
        <w:t>目  录</w:t>
      </w:r>
    </w:p>
    <w:p>
      <w:pPr>
        <w:pStyle w:val="TOC1"/>
        <w:spacing w:before="40" w:after="40" w:line="400" w:lineRule="exact"/>
        <w:tabs>
          <w:tab w:val="right" w:leader="dot" w:pos="5580000"/>
        </w:tabs>
      </w:pPr>
      <w:r>
        <w:rPr>
          <w:rFonts w:ascii="Times New Roman" w:hAnsi="Times New Roman" w:eastAsia="SimHei"/>
          <w:b w:val="0"/>
          <w:i w:val="0"/>
          <w:sz w:val="24"/>
        </w:rPr>
        <w:t>第1章 绪论</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1.1 研究背景与意义</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1.2 国内外研究现状</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1.3 研究内容与目标</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1.4 研究方法与技术路线</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1.5 论文组织结构</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1.6 本章小结</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第2章 核心概念与理论基础</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2.1 核心概念界定</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2.2 理论基础</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2.3 政务数据治理的分析框架构建</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2.4 本章小结</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第3章 我国政务数据治理的现状与问题分析</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3.1 我国政务数据治理的政策演进与实践现状</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3.2 政务数据共享与开放的现实困境</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3.3 数据安全与隐私保护的挑战</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3.4 治理体制机制的深层矛盾</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3.5 本章小结</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第4章 政务数据治理困境的成因机理分析</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4.1 基于利益博弈视角的组织壁垒分析</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4.2 制度供给滞后与法律规范缺失</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4.3 技术标准不统一与基础设施短板</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4.4 数据文化与人才支撑不足</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4.5 本章小结</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第5章 国内外政务数据治理的经验借鉴</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5.1 国外典型国家政务数据治理模式</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5.2 国内先进地区的实践探索</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5.3 国内外经验的比较与启示</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5.4 本章小结</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第6章 数字政府视域下政务数据治理的优化路径</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6.1 完善顶层设计与法律制度体系</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6.2 构建跨部门协同的组织运行机制</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6.3 强化技术赋能与标准规范建设</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6.4 建立数据安全与隐私保护长效机制</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6.5 培育数据文化与提升数字素养</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6.6 本章小结</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第7章 总结与展望</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7.1 研究工作总结</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7.2 主要创新点</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7.3 研究局限与不足</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7.4 未来研究展望</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参考文献</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攻读学位期间取得的研究成果</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致谢</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插图清单</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附表清单</w:t>
        <w:tab/>
      </w:r>
      <w:r>
        <w:rPr>
          <w:rFonts w:ascii="Times New Roman" w:hAnsi="Times New Roman" w:eastAsia="Times New Roman"/>
          <w:b w:val="0"/>
          <w:i w:val="0"/>
          <w:sz w:val="24"/>
        </w:rPr>
        <w:t xml:space="preserve"> </w:t>
      </w:r>
    </w:p>
    <w:p>
      <w:pPr>
        <w:spacing w:before="0" w:after="0"/>
        <w:jc w:val="left"/>
      </w:pPr>
      <w:r>
        <w:fldChar w:fldCharType="begin"/>
      </w:r>
      <w:r>
        <w:instrText xml:space="preserve"> TOC \o "1-3" \h \z \u </w:instrText>
      </w:r>
      <w:r>
        <w:fldChar w:fldCharType="separate"/>
      </w:r>
      <w:r>
        <w:fldChar w:fldCharType="end"/>
      </w:r>
    </w:p>
    <w:p>
      <w:r>
        <w:br w:type="page"/>
      </w:r>
    </w:p>
    <w:p>
      <w:pPr>
        <w:sectPr>
          <w:footerReference w:type="default" r:id="rId9"/>
          <w:pgSz w:w="11906" w:h="16838"/>
          <w:pgMar w:top="1701" w:right="1417" w:bottom="1417" w:left="1701" w:header="720" w:footer="720" w:gutter="0"/>
          <w:cols w:space="720"/>
          <w:titlePg/>
          <w:docGrid w:linePitch="360"/>
          <w:pgNumType w:fmt="upperRoman" w:start="1"/>
        </w:sectPr>
      </w:pPr>
    </w:p>
    <w:p>
      <w:pPr>
        <w:pStyle w:val="Heading1"/>
        <w:spacing w:line="480" w:lineRule="exact"/>
      </w:pPr>
      <w:r>
        <w:rPr>
          <w:rFonts w:ascii="Times New Roman" w:hAnsi="Times New Roman" w:eastAsia="SimHei"/>
          <w:b/>
          <w:i w:val="0"/>
          <w:color w:val="000000"/>
          <w:sz w:val="32"/>
        </w:rPr>
        <w:t>第1章 绪论</w:t>
      </w:r>
    </w:p>
    <w:p>
      <w:pPr>
        <w:pStyle w:val="Heading2"/>
        <w:spacing w:line="440" w:lineRule="exact"/>
      </w:pPr>
      <w:r>
        <w:rPr>
          <w:rFonts w:ascii="Times New Roman" w:hAnsi="Times New Roman" w:eastAsia="SimHei"/>
          <w:b/>
          <w:i w:val="0"/>
          <w:color w:val="000000"/>
          <w:sz w:val="28"/>
        </w:rPr>
        <w:t>1.1 研究背景与意义</w:t>
      </w:r>
    </w:p>
    <w:p>
      <w:pPr>
        <w:spacing w:line="440" w:lineRule="exact" w:before="0" w:after="0"/>
        <w:ind w:firstLine="480"/>
        <w:jc w:val="both"/>
      </w:pPr>
      <w:r>
        <w:rPr>
          <w:rFonts w:ascii="Times New Roman" w:hAnsi="Times New Roman" w:eastAsia="SimSun"/>
          <w:b w:val="0"/>
          <w:i w:val="0"/>
          <w:sz w:val="24"/>
        </w:rPr>
        <w:t>当前，全球正处于以大数据、云计算、人工智能为代表的新一轮科技革命和产业变革的关键时期。数字技术正以前所未有的速度重塑政府治理形态，推动公共管理从传统的科层制向数字化、智能化转型。在中国，数字政府建设已被提升至国家战略高度，成为推进国家治理体系和治理能力现代化的重要引擎[31]。《“十四五”数字经济发展规划》明确提出，要加快推动数字产业化和产业数字化，着力提升政务数据治理效能，构建协同高效的政府数字化履职能力体系[32]。政务数据作为关键的生产要素和基础性战略资源，其汇聚、共享、开放与应用水平，直接决定了数字政府的运行效率、公共服务质量以及宏观决策的科学性。</w:t>
      </w:r>
    </w:p>
    <w:p>
      <w:pPr>
        <w:spacing w:line="440" w:lineRule="exact" w:before="0" w:after="0"/>
        <w:ind w:firstLine="480"/>
        <w:jc w:val="both"/>
      </w:pPr>
      <w:r>
        <w:rPr>
          <w:rFonts w:ascii="Times New Roman" w:hAnsi="Times New Roman" w:eastAsia="SimSun"/>
          <w:b w:val="0"/>
          <w:i w:val="0"/>
          <w:sz w:val="24"/>
        </w:rPr>
        <w:t>然而，尽管我国在电子政务基础设施建设方面取得了显著成就，政务数据治理仍面临诸多深层次矛盾。长期存在的“数据孤岛”现象导致部门间数据壁垒森严，数据标准不统一使得跨层级、跨地域、跨系统的数据融合困难重重。此外，随着数据规模的指数级增长，数据安全与隐私保护风险日益凸显，现有的法律法规和技术手段难以完全应对复杂的安全挑战[33]。这些问题不仅制约了数据价值的充分释放，也影响了政府公信力和公众满意度。因此，深入剖析数字政府视域下政务数据治理的现实困境，探索其成因并构建优化路径，具有迫切的现实需求。</w:t>
      </w:r>
    </w:p>
    <w:p>
      <w:pPr>
        <w:spacing w:line="440" w:lineRule="exact" w:before="0" w:after="0"/>
        <w:ind w:firstLine="480"/>
        <w:jc w:val="both"/>
      </w:pPr>
      <w:r>
        <w:rPr>
          <w:rFonts w:ascii="Times New Roman" w:hAnsi="Times New Roman" w:eastAsia="SimSun"/>
          <w:b w:val="0"/>
          <w:i w:val="0"/>
          <w:sz w:val="24"/>
        </w:rPr>
        <w:t>本研究具有重要的理论意义与实践价值。在理论层面，现有研究多集中于技术架构或单一维度的政策分析，缺乏基于整体性治理视角的系统性框架。本研究引入“制度-技术-组织”三维分析框架，丰富了政务数据治理的理论解释力，为理解复杂行政环境下的数据流动障碍提供了新的学术视角[34]。在实践层面，本研究旨在通过梳理国内外先进经验，结合中国行政体制特点，提出具有可操作性的优化策略。这不仅有助于打破部门利益固化，促进政务数据的高效共享与开放，还能为完善数据安全法律体系、提升政府数字化治理能力提供决策参考，从而更好地服务于数字中国建设大局[35]。</w:t>
      </w:r>
    </w:p>
    <w:p>
      <w:pPr>
        <w:pStyle w:val="Heading2"/>
        <w:spacing w:line="440" w:lineRule="exact"/>
      </w:pPr>
      <w:r>
        <w:rPr>
          <w:rFonts w:ascii="Times New Roman" w:hAnsi="Times New Roman" w:eastAsia="SimHei"/>
          <w:b/>
          <w:i w:val="0"/>
          <w:color w:val="000000"/>
          <w:sz w:val="28"/>
        </w:rPr>
        <w:t>1.2 国内外研究现状</w:t>
      </w:r>
    </w:p>
    <w:p>
      <w:pPr>
        <w:spacing w:line="440" w:lineRule="exact" w:before="0" w:after="0"/>
        <w:ind w:firstLine="480"/>
        <w:jc w:val="both"/>
      </w:pPr>
      <w:r>
        <w:rPr>
          <w:rFonts w:ascii="Times New Roman" w:hAnsi="Times New Roman" w:eastAsia="SimSun"/>
          <w:b w:val="0"/>
          <w:i w:val="0"/>
          <w:sz w:val="24"/>
        </w:rPr>
        <w:t>政务数据治理作为一个跨学科的研究领域，吸引了公共管理学、信息科学、法学等多个学科学者的关注。国外研究起步较早，主要围绕数据开放、隐私保护及治理模式展开。早期研究侧重于电子政务的技术实现，如Heeks指出技术决定论在早期电子政务研究中的主导地位，但忽视了组织和社会因素的影响[36]。随着研究深入，学者们开始关注数据治理的制度维度。Janssen等提出了政务数据治理的多层次框架，强调政策、法律和组织结构对数据流动的规制作用[37]。在数据开放方面，Zuiderwijk等研究了开放数据对社会创新和公民参与的影响，指出数据质量和使用便利性是关键影响因素[38]。近年来，随着GDPR等法规的实施，隐私保护成为研究热点，Van Ooijen等探讨了隐私设计原则在政府数据系统中的应用，强调技术与法律的协同[39]。</w:t>
      </w:r>
    </w:p>
    <w:p>
      <w:pPr>
        <w:spacing w:line="440" w:lineRule="exact" w:before="0" w:after="0"/>
        <w:ind w:firstLine="480"/>
        <w:jc w:val="both"/>
      </w:pPr>
      <w:r>
        <w:rPr>
          <w:rFonts w:ascii="Times New Roman" w:hAnsi="Times New Roman" w:eastAsia="SimSun"/>
          <w:b w:val="0"/>
          <w:i w:val="0"/>
          <w:sz w:val="24"/>
        </w:rPr>
        <w:t>国内研究紧随数字政府建设步伐，呈现出从概念引进到本土化创新的演进轨迹。初期研究主要聚焦于电子政务的概念界定与发展阶段划分，如汪玉凯将中国电子政务发展划分为信息发布、在线办事和全面整合几个阶段[40]。随着大数据时代的到来，研究重心转向政务数据资源共享与开放。孟天广等分析了政务数据开放的驱动力与阻力，指出行政体制内的条块分割是主要障碍[41]。在治理机制方面，黄璜提出了“数据治理”的中国语境，强调党委领导、政府负责的社会共治格局[42]。近期，随着《数据安全法》和《个人信息保护法》的出台，数据安全与合规成为研究新焦点，许多学者探讨了法律规制与技术防护的结合路径[43]。</w:t>
      </w:r>
    </w:p>
    <w:p>
      <w:pPr>
        <w:spacing w:line="440" w:lineRule="exact" w:before="0" w:after="0"/>
        <w:ind w:firstLine="480"/>
        <w:jc w:val="both"/>
      </w:pPr>
      <w:r>
        <w:rPr>
          <w:rFonts w:ascii="Times New Roman" w:hAnsi="Times New Roman" w:eastAsia="SimSun"/>
          <w:b w:val="0"/>
          <w:i w:val="0"/>
          <w:sz w:val="24"/>
        </w:rPr>
        <w:t>尽管国内外研究成果丰硕，但仍存在若干不足。首先，现有研究多呈碎片化特征，缺乏将制度、技术与组织因素纳入统一框架的系统性分析。多数研究要么侧重技术架构设计，要么侧重政策法规解读，未能揭示三者之间的互动机制[44]。其次，对于政务数据治理困境的深层成因挖掘不够，往往停留在现象描述层面，缺乏基于利益博弈和制度经济学的深入机理分析[45]。再次，关于优化路径的研究多为原则性建议，缺乏针对具体行政场景的可操作性方案，特别是在跨部门协同机制的设计上较为薄弱[46]。最后，比较研究多局限于单一国家或地区，缺乏对不同类型治理模式的系统性比较与适用性分析。本研究旨在弥补上述空白，通过构建综合分析框架，深入剖析困境成因，并提出针对性的优化路径。</w:t>
      </w:r>
    </w:p>
    <w:p>
      <w:pPr>
        <w:pStyle w:val="Heading2"/>
        <w:spacing w:line="440" w:lineRule="exact"/>
      </w:pPr>
      <w:r>
        <w:rPr>
          <w:rFonts w:ascii="Times New Roman" w:hAnsi="Times New Roman" w:eastAsia="SimHei"/>
          <w:b/>
          <w:i w:val="0"/>
          <w:color w:val="000000"/>
          <w:sz w:val="28"/>
        </w:rPr>
        <w:t>1.3 研究内容与目标</w:t>
      </w:r>
    </w:p>
    <w:p>
      <w:pPr>
        <w:spacing w:line="440" w:lineRule="exact" w:before="0" w:after="0"/>
        <w:ind w:firstLine="480"/>
        <w:jc w:val="both"/>
      </w:pPr>
      <w:r>
        <w:rPr>
          <w:rFonts w:ascii="Times New Roman" w:hAnsi="Times New Roman" w:eastAsia="SimSun"/>
          <w:b w:val="0"/>
          <w:i w:val="0"/>
          <w:sz w:val="24"/>
        </w:rPr>
        <w:t>本研究紧扣数字政府建设背景，聚焦政务数据治理的核心问题，旨在通过系统分析，揭示当前治理困境及其成因，并提出切实可行的优化路径。具体研究内容包括以下四个方面：</w:t>
      </w:r>
    </w:p>
    <w:p>
      <w:pPr>
        <w:spacing w:line="440" w:lineRule="exact" w:before="0" w:after="0"/>
        <w:ind w:firstLine="480"/>
        <w:jc w:val="both"/>
      </w:pPr>
      <w:r>
        <w:rPr>
          <w:rFonts w:ascii="Times New Roman" w:hAnsi="Times New Roman" w:eastAsia="SimSun"/>
          <w:b w:val="0"/>
          <w:i w:val="0"/>
          <w:sz w:val="24"/>
        </w:rPr>
        <w:t>第一，构建政务数据治理的理论分析框架。基于整体性治理理论与数据生命周期理论，梳理政务数据治理的核心概念，界定其内涵与外延。构建包含制度维度、技术维度和组织维度的“三位一体”分析框架，为后续的现状分析与问题诊断提供理论支撑。</w:t>
      </w:r>
    </w:p>
    <w:p>
      <w:pPr>
        <w:spacing w:line="440" w:lineRule="exact" w:before="0" w:after="0"/>
        <w:ind w:firstLine="480"/>
        <w:jc w:val="both"/>
      </w:pPr>
      <w:r>
        <w:rPr>
          <w:rFonts w:ascii="Times New Roman" w:hAnsi="Times New Roman" w:eastAsia="SimSun"/>
          <w:b w:val="0"/>
          <w:i w:val="0"/>
          <w:sz w:val="24"/>
        </w:rPr>
        <w:t>第二，剖析我国政务数据治理的现实困境。通过政策文本分析与典型案例研究，系统梳理我国政务数据治理的政策演进历程与实践现状。重点分析政务数据共享与开放中的“孤岛”现象、数据安全与隐私保护面临的风险挑战，以及治理体制机制中存在的深层矛盾，明确当前治理效能低下的具体表现。</w:t>
      </w:r>
    </w:p>
    <w:p>
      <w:pPr>
        <w:spacing w:line="440" w:lineRule="exact" w:before="0" w:after="0"/>
        <w:ind w:firstLine="480"/>
        <w:jc w:val="both"/>
      </w:pPr>
      <w:r>
        <w:rPr>
          <w:rFonts w:ascii="Times New Roman" w:hAnsi="Times New Roman" w:eastAsia="SimSun"/>
          <w:b w:val="0"/>
          <w:i w:val="0"/>
          <w:sz w:val="24"/>
        </w:rPr>
        <w:t>第三，探究政务数据治理困境的成因机理。运用利益博弈理论、制度变迁理论等工具，深入剖析造成上述困境的根本原因。重点探讨条块分割行政体制下的部门利益冲突、法律法规供给滞后对数据流动的制约、技术标准不统一导致的基础设施短板，以及数据文化缺失与人才支撑不足等主观因素。</w:t>
      </w:r>
    </w:p>
    <w:p>
      <w:pPr>
        <w:spacing w:line="440" w:lineRule="exact" w:before="0" w:after="0"/>
        <w:ind w:firstLine="480"/>
        <w:jc w:val="both"/>
      </w:pPr>
      <w:r>
        <w:rPr>
          <w:rFonts w:ascii="Times New Roman" w:hAnsi="Times New Roman" w:eastAsia="SimSun"/>
          <w:b w:val="0"/>
          <w:i w:val="0"/>
          <w:sz w:val="24"/>
        </w:rPr>
        <w:t>第四，提出数字政府视域下政务数据治理的优化路径。借鉴国外典型国家及国内先进地区的成功经验，结合我国国情，从完善顶层设计与法律制度、构建跨部门协同机制、强化技术赋能与标准建设、建立安全保护长效机制、培育数据文化等方面，提出系统化、可操作的对策建议。</w:t>
      </w:r>
    </w:p>
    <w:p>
      <w:pPr>
        <w:spacing w:line="440" w:lineRule="exact" w:before="0" w:after="0"/>
        <w:ind w:firstLine="480"/>
        <w:jc w:val="both"/>
      </w:pPr>
      <w:r>
        <w:rPr>
          <w:rFonts w:ascii="Times New Roman" w:hAnsi="Times New Roman" w:eastAsia="SimSun"/>
          <w:b w:val="0"/>
          <w:i w:val="0"/>
          <w:sz w:val="24"/>
        </w:rPr>
        <w:t>本研究的目标在于：理论上，丰富和完善政务数据治理的研究体系，提供一个新的综合分析视角；实践上，为政府部门破解数据共享难题、提升治理效能提供决策参考，助力数字政府建设迈向新台阶。</w:t>
      </w:r>
    </w:p>
    <w:p>
      <w:pPr>
        <w:pStyle w:val="Heading2"/>
        <w:spacing w:line="440" w:lineRule="exact"/>
      </w:pPr>
      <w:r>
        <w:rPr>
          <w:rFonts w:ascii="Times New Roman" w:hAnsi="Times New Roman" w:eastAsia="SimHei"/>
          <w:b/>
          <w:i w:val="0"/>
          <w:color w:val="000000"/>
          <w:sz w:val="28"/>
        </w:rPr>
        <w:t>1.4 研究方法与技术路线</w:t>
      </w:r>
    </w:p>
    <w:p>
      <w:pPr>
        <w:spacing w:line="440" w:lineRule="exact" w:before="0" w:after="0"/>
        <w:ind w:firstLine="480"/>
        <w:jc w:val="both"/>
      </w:pPr>
      <w:r>
        <w:rPr>
          <w:rFonts w:ascii="Times New Roman" w:hAnsi="Times New Roman" w:eastAsia="SimSun"/>
          <w:b w:val="0"/>
          <w:i w:val="0"/>
          <w:sz w:val="24"/>
        </w:rPr>
        <w:t>为确保研究的科学性与严谨性，本研究采用多种研究方法相结合的策略，具体包括文献研究法、案例分析法、比较研究法和规范分析法。</w:t>
      </w:r>
    </w:p>
    <w:p>
      <w:pPr>
        <w:spacing w:line="440" w:lineRule="exact" w:before="0" w:after="0"/>
        <w:ind w:firstLine="480"/>
        <w:jc w:val="both"/>
      </w:pPr>
      <w:r>
        <w:rPr>
          <w:rFonts w:ascii="Times New Roman" w:hAnsi="Times New Roman" w:eastAsia="SimSun"/>
          <w:b w:val="0"/>
          <w:i w:val="0"/>
          <w:sz w:val="24"/>
        </w:rPr>
        <w:t>文献研究法是本文的基础方法。通过广泛收集国内外关于数字政府、政务数据治理、整体性治理等方面的学术期刊、学位论文、政策文件及研究报告，梳理相关理论脉络与研究现状，为构建分析框架和确立研究视角奠定理论基础[47]。</w:t>
      </w:r>
    </w:p>
    <w:p>
      <w:pPr>
        <w:spacing w:line="440" w:lineRule="exact" w:before="0" w:after="0"/>
        <w:ind w:firstLine="480"/>
        <w:jc w:val="both"/>
      </w:pPr>
      <w:r>
        <w:rPr>
          <w:rFonts w:ascii="Times New Roman" w:hAnsi="Times New Roman" w:eastAsia="SimSun"/>
          <w:b w:val="0"/>
          <w:i w:val="0"/>
          <w:sz w:val="24"/>
        </w:rPr>
        <w:t>案例分析法用于深入剖析现实问题。选取我国具有代表性的地方政府政务数据治理案例，如浙江“最多跑一次”改革、贵州大数据综合试验区等，通过实地调研、访谈及二手资料收集，深入挖掘其在数据共享、开放及安全治理方面的具体做法、成效与存在的问题，增强研究的实证支撑[48]。</w:t>
      </w:r>
    </w:p>
    <w:p>
      <w:pPr>
        <w:spacing w:line="440" w:lineRule="exact" w:before="0" w:after="0"/>
        <w:ind w:firstLine="480"/>
        <w:jc w:val="both"/>
      </w:pPr>
      <w:r>
        <w:rPr>
          <w:rFonts w:ascii="Times New Roman" w:hAnsi="Times New Roman" w:eastAsia="SimSun"/>
          <w:b w:val="0"/>
          <w:i w:val="0"/>
          <w:sz w:val="24"/>
        </w:rPr>
        <w:t>比较研究法用于借鉴国际经验。选取美国、欧盟、英国等在政务数据治理方面具有成熟经验的国家和地区，分析其治理模式、法律体系及技术标准，并与我国情况进行对比，提炼出可供我国借鉴的经验启示，避免闭门造车[49]。</w:t>
      </w:r>
    </w:p>
    <w:p>
      <w:pPr>
        <w:spacing w:line="440" w:lineRule="exact" w:before="0" w:after="0"/>
        <w:ind w:firstLine="480"/>
        <w:jc w:val="both"/>
      </w:pPr>
      <w:r>
        <w:rPr>
          <w:rFonts w:ascii="Times New Roman" w:hAnsi="Times New Roman" w:eastAsia="SimSun"/>
          <w:b w:val="0"/>
          <w:i w:val="0"/>
          <w:sz w:val="24"/>
        </w:rPr>
        <w:t>规范分析法用于提出优化路径。基于前述理论分析与实证研究，结合数字政府建设的总体要求，从应然角度探讨政务数据治理的理想状态，进而提出具体的制度设计、机制创新及技术改进建议，确保对策建议的前瞻性与可行性[50]。</w:t>
      </w:r>
    </w:p>
    <w:p>
      <w:pPr>
        <w:spacing w:line="440" w:lineRule="exact" w:before="0" w:after="0"/>
        <w:ind w:firstLine="480"/>
        <w:jc w:val="both"/>
      </w:pPr>
      <w:r>
        <w:rPr>
          <w:rFonts w:ascii="Times New Roman" w:hAnsi="Times New Roman" w:eastAsia="SimSun"/>
          <w:b w:val="0"/>
          <w:i w:val="0"/>
          <w:sz w:val="24"/>
        </w:rPr>
        <w:t>技术路线遵循“提出问题—分析问题—解决问题”的逻辑主线。首先，通过文献梳理明确研究背景与意义，构建理论框架；其次，运用案例与比较方法，诊断我国政务数据治理的现实困境并剖析成因；再次，总结国内外经验启示；最后，提出优化路径并得出结论。整个研究过程逻辑严密，层层递进，确保研究目标的实现。</w:t>
      </w:r>
    </w:p>
    <w:p>
      <w:pPr>
        <w:spacing w:before="240" w:after="120" w:line="240" w:lineRule="auto"/>
        <w:jc w:val="center"/>
      </w:pPr>
      <w:r>
        <w:drawing>
          <wp:inline xmlns:a="http://schemas.openxmlformats.org/drawingml/2006/main" xmlns:pic="http://schemas.openxmlformats.org/drawingml/2006/picture">
            <wp:extent cx="3657600" cy="3657600"/>
            <wp:docPr id="1" name="Picture 1"/>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3657600" cy="3657600"/>
                    </a:xfrm>
                    <a:prstGeom prst="rect"/>
                  </pic:spPr>
                </pic:pic>
              </a:graphicData>
            </a:graphic>
          </wp:inline>
        </w:drawing>
      </w:r>
    </w:p>
    <w:p>
      <w:pPr>
        <w:spacing w:line="440" w:lineRule="exact" w:before="120" w:after="240"/>
        <w:jc w:val="center"/>
      </w:pPr>
      <w:r>
        <w:rPr>
          <w:rFonts w:ascii="Times New Roman" w:hAnsi="Times New Roman" w:eastAsia="SimSun"/>
          <w:b w:val="0"/>
          <w:i w:val="0"/>
          <w:sz w:val="21"/>
        </w:rPr>
        <w:t>图1.1 本研究技术路线图（黑白线条图风格，简洁框图，无装饰，无彩色）</w:t>
      </w:r>
    </w:p>
    <w:p>
      <w:pPr>
        <w:pStyle w:val="Heading2"/>
        <w:spacing w:line="440" w:lineRule="exact"/>
      </w:pPr>
      <w:r>
        <w:rPr>
          <w:rFonts w:ascii="Times New Roman" w:hAnsi="Times New Roman" w:eastAsia="SimHei"/>
          <w:b/>
          <w:i w:val="0"/>
          <w:color w:val="000000"/>
          <w:sz w:val="28"/>
        </w:rPr>
        <w:t>1.5 论文组织结构</w:t>
      </w:r>
    </w:p>
    <w:p>
      <w:pPr>
        <w:spacing w:line="440" w:lineRule="exact" w:before="0" w:after="0"/>
        <w:ind w:firstLine="480"/>
        <w:jc w:val="both"/>
      </w:pPr>
      <w:r>
        <w:rPr>
          <w:rFonts w:ascii="Times New Roman" w:hAnsi="Times New Roman" w:eastAsia="SimSun"/>
          <w:b w:val="0"/>
          <w:i w:val="0"/>
          <w:sz w:val="24"/>
        </w:rPr>
        <w:t>本论文共分为七章，各章内容安排如下：</w:t>
      </w:r>
    </w:p>
    <w:p>
      <w:pPr>
        <w:spacing w:line="440" w:lineRule="exact" w:before="0" w:after="0"/>
        <w:ind w:firstLine="480"/>
        <w:jc w:val="both"/>
      </w:pPr>
      <w:r>
        <w:rPr>
          <w:rFonts w:ascii="Times New Roman" w:hAnsi="Times New Roman" w:eastAsia="SimSun"/>
          <w:b w:val="0"/>
          <w:i w:val="0"/>
          <w:sz w:val="24"/>
        </w:rPr>
        <w:t>第一章为绪论。主要阐述研究背景与意义，梳理国内外研究现状，明确研究内容与目标，介绍研究方法与技术路线，并概括论文的整体组织结构，为全文奠定基调。</w:t>
      </w:r>
    </w:p>
    <w:p>
      <w:pPr>
        <w:spacing w:line="440" w:lineRule="exact" w:before="0" w:after="0"/>
        <w:ind w:firstLine="480"/>
        <w:jc w:val="both"/>
      </w:pPr>
      <w:r>
        <w:rPr>
          <w:rFonts w:ascii="Times New Roman" w:hAnsi="Times New Roman" w:eastAsia="SimSun"/>
          <w:b w:val="0"/>
          <w:i w:val="0"/>
          <w:sz w:val="24"/>
        </w:rPr>
        <w:t>第二章为核心概念与理论基础。界定政务数据治理、数字政府等核心概念，阐述整体性治理理论、数据生命周期理论等基础理论，并在此基础上构建“制度-技术-组织”三维分析框架，为后续章节提供理论支撑。</w:t>
      </w:r>
    </w:p>
    <w:p>
      <w:pPr>
        <w:spacing w:line="440" w:lineRule="exact" w:before="0" w:after="0"/>
        <w:ind w:firstLine="480"/>
        <w:jc w:val="both"/>
      </w:pPr>
      <w:r>
        <w:rPr>
          <w:rFonts w:ascii="Times New Roman" w:hAnsi="Times New Roman" w:eastAsia="SimSun"/>
          <w:b w:val="0"/>
          <w:i w:val="0"/>
          <w:sz w:val="24"/>
        </w:rPr>
        <w:t>第三章为我国政务数据治理的现状与问题分析。回顾我国政务数据治理的政策演进，描述实践现状，并从共享开放、安全防护、体制机制三个维度深入剖析当前面临的现实困境。</w:t>
      </w:r>
    </w:p>
    <w:p>
      <w:pPr>
        <w:spacing w:line="440" w:lineRule="exact" w:before="0" w:after="0"/>
        <w:ind w:firstLine="480"/>
        <w:jc w:val="both"/>
      </w:pPr>
      <w:r>
        <w:rPr>
          <w:rFonts w:ascii="Times New Roman" w:hAnsi="Times New Roman" w:eastAsia="SimSun"/>
          <w:b w:val="0"/>
          <w:i w:val="0"/>
          <w:sz w:val="24"/>
        </w:rPr>
        <w:t>第四章为政务数据治理困境的成因机理分析。基于前章提出的问题，从组织壁垒、制度供给、技术标准、数据文化四个层面，深入挖掘导致治理困境的深层原因。</w:t>
      </w:r>
    </w:p>
    <w:p>
      <w:pPr>
        <w:spacing w:line="440" w:lineRule="exact" w:before="0" w:after="0"/>
        <w:ind w:firstLine="480"/>
        <w:jc w:val="both"/>
      </w:pPr>
      <w:r>
        <w:rPr>
          <w:rFonts w:ascii="Times New Roman" w:hAnsi="Times New Roman" w:eastAsia="SimSun"/>
          <w:b w:val="0"/>
          <w:i w:val="0"/>
          <w:sz w:val="24"/>
        </w:rPr>
        <w:t>第五章为国内外政务数据治理的经验借鉴。分析国外典型国家及国内先进地区的治理模式与实践探索，通过比较研究，提炼出对我国具有启示意义的经验做法。</w:t>
      </w:r>
    </w:p>
    <w:p>
      <w:pPr>
        <w:spacing w:line="440" w:lineRule="exact" w:before="0" w:after="0"/>
        <w:ind w:firstLine="480"/>
        <w:jc w:val="both"/>
      </w:pPr>
      <w:r>
        <w:rPr>
          <w:rFonts w:ascii="Times New Roman" w:hAnsi="Times New Roman" w:eastAsia="SimSun"/>
          <w:b w:val="0"/>
          <w:i w:val="0"/>
          <w:sz w:val="24"/>
        </w:rPr>
        <w:t>第六章为数字政府视域下政务数据治理的优化路径。结合理论分析与经验借鉴，从法律制度、组织机制、技术赋能、安全保障、文化培育五个方面，提出系统化的优化对策。</w:t>
      </w:r>
    </w:p>
    <w:p>
      <w:pPr>
        <w:spacing w:line="440" w:lineRule="exact" w:before="0" w:after="0"/>
        <w:ind w:firstLine="480"/>
        <w:jc w:val="both"/>
      </w:pPr>
      <w:r>
        <w:rPr>
          <w:rFonts w:ascii="Times New Roman" w:hAnsi="Times New Roman" w:eastAsia="SimSun"/>
          <w:b w:val="0"/>
          <w:i w:val="0"/>
          <w:sz w:val="24"/>
        </w:rPr>
        <w:t>第七章为总结与展望。概括全文的主要研究结论与创新点，指出研究存在的局限与不足，并对未来研究方向进行展望。</w:t>
      </w:r>
    </w:p>
    <w:p>
      <w:pPr>
        <w:pStyle w:val="Heading2"/>
        <w:spacing w:line="440" w:lineRule="exact"/>
      </w:pPr>
      <w:r>
        <w:rPr>
          <w:rFonts w:ascii="Times New Roman" w:hAnsi="Times New Roman" w:eastAsia="SimHei"/>
          <w:b/>
          <w:i w:val="0"/>
          <w:color w:val="000000"/>
          <w:sz w:val="28"/>
        </w:rPr>
        <w:t>1.6 本章小结</w:t>
      </w:r>
    </w:p>
    <w:p>
      <w:pPr>
        <w:spacing w:line="440" w:lineRule="exact" w:before="0" w:after="0"/>
        <w:ind w:firstLine="480"/>
        <w:jc w:val="both"/>
      </w:pPr>
      <w:r>
        <w:rPr>
          <w:rFonts w:ascii="Times New Roman" w:hAnsi="Times New Roman" w:eastAsia="SimSun"/>
          <w:b w:val="0"/>
          <w:i w:val="0"/>
          <w:sz w:val="24"/>
        </w:rPr>
        <w:t>本章作为论文的开端，系统阐述了研究的宏观背景与微观意义。在数字政府建设全面推进的背景下，政务数据治理已成为提升国家治理能力的关键环节。通过对国内外研究现状的梳理，发现现有研究在系统性框架、深层成因分析及可操作性对策方面存在不足，确立了本研究的切入点。本章明确了以“制度-技术-组织”为分析框架，综合运用文献研究、案例分析、比较研究等方法，旨在揭示我国政务数据治理的困境与成因，并提出优化路径。最后，本章详细介绍了论文的七章结构，明确了各章的逻辑关系与主要内容，为后续章节的展开奠定了清晰的逻辑基础。</w:t>
      </w:r>
    </w:p>
    <w:p>
      <w:pPr>
        <w:pStyle w:val="Heading1"/>
        <w:spacing w:line="480" w:lineRule="exact"/>
      </w:pPr>
      <w:r>
        <w:rPr>
          <w:rFonts w:ascii="Times New Roman" w:hAnsi="Times New Roman" w:eastAsia="SimHei"/>
          <w:b/>
          <w:i w:val="0"/>
          <w:color w:val="000000"/>
          <w:sz w:val="32"/>
        </w:rPr>
        <w:t>第2章 核心概念与理论基础</w:t>
      </w:r>
    </w:p>
    <w:p>
      <w:pPr>
        <w:pStyle w:val="Heading2"/>
        <w:spacing w:line="440" w:lineRule="exact"/>
      </w:pPr>
      <w:r>
        <w:rPr>
          <w:rFonts w:ascii="Times New Roman" w:hAnsi="Times New Roman" w:eastAsia="SimHei"/>
          <w:b/>
          <w:i w:val="0"/>
          <w:color w:val="000000"/>
          <w:sz w:val="28"/>
        </w:rPr>
        <w:t>2.1 核心概念界定</w:t>
      </w:r>
    </w:p>
    <w:p>
      <w:pPr>
        <w:spacing w:line="440" w:lineRule="exact" w:before="0" w:after="0"/>
        <w:ind w:firstLine="480"/>
        <w:jc w:val="both"/>
      </w:pPr>
      <w:r>
        <w:rPr>
          <w:rFonts w:ascii="Times New Roman" w:hAnsi="Times New Roman" w:eastAsia="SimSun"/>
          <w:b w:val="0"/>
          <w:i w:val="0"/>
          <w:sz w:val="24"/>
        </w:rPr>
        <w:t>在深入探讨数字政府视域下政务数据治理的困境与优化路径之前，必须对研究涉及的核心概念进行清晰界定。概念的明确是构建理论框架和开展实证分析的前提。本章首先厘清“数字政府”、“政务数据”以及“数据治理”三个关键术语的内涵与外延，并阐述其在本研究语境下的特定指涉。</w:t>
      </w:r>
    </w:p>
    <w:p>
      <w:pPr>
        <w:spacing w:line="440" w:lineRule="exact" w:before="0" w:after="0"/>
        <w:ind w:firstLine="480"/>
        <w:jc w:val="both"/>
      </w:pPr>
      <w:r>
        <w:rPr>
          <w:rFonts w:ascii="Times New Roman" w:hAnsi="Times New Roman" w:eastAsia="SimSun"/>
          <w:b w:val="0"/>
          <w:i w:val="0"/>
          <w:sz w:val="24"/>
        </w:rPr>
        <w:t>数字政府（Digital Government）并非简单的政府信息化或电子政务的延伸，而是基于新一代信息技术，对政府组织结构、业务流程和服务模式进行的系统性重塑。根据联合国的定义，数字政府是指利用信息和通信技术（ICTs）提供公共服务、增强公民参与以及提高政府决策透明度和效率的过程[51]。在本研究中，数字政府被界定为一种以数据为核心驱动力的治理形态。它强调通过数据的汇聚、共享与分析，打破传统科层制的部门壁垒，实现政府运行的整体性协同和智能化决策。与传统电子政务侧重于将线下业务线上化不同，数字政府更注重数据要素在跨部门、跨层级协作中的纽带作用，旨在构建一个开放、协同、智能的现代化治理体系[52]。</w:t>
      </w:r>
    </w:p>
    <w:p>
      <w:pPr>
        <w:spacing w:line="440" w:lineRule="exact" w:before="0" w:after="0"/>
        <w:ind w:firstLine="480"/>
        <w:jc w:val="both"/>
      </w:pPr>
      <w:r>
        <w:rPr>
          <w:rFonts w:ascii="Times New Roman" w:hAnsi="Times New Roman" w:eastAsia="SimSun"/>
          <w:b w:val="0"/>
          <w:i w:val="0"/>
          <w:sz w:val="24"/>
        </w:rPr>
        <w:t>政务数据（Government Data）是数字政府建设的核心生产要素。广义上，政务数据是指各级行政机关及法律法规授权的具有管理公共事务职能的组织，在依法履行职责过程中制作或获取的，以一定形式记录、保存的信息资源[53]。从数据类型来看，政务数据不仅包括结构化数据（如人口库、法人库中的登记信息），还涵盖半结构化数据（如XML格式的业务报表）和非结构化数据（如公文文本、执法视频、地理空间信息等）。本研究重点关注具有高价值密度、强关联性和动态更新特征的政务数据。这类数据不仅是政府内部行政管理的依据，更是向社会提供精准公共服务、支撑宏观经济调控的基础资源。值得注意的是，政务数据具有公共属性、权威性和敏感性三重特征，这决定了其在治理过程中必须兼顾开放共享与安全保护的双重目标[54]。</w:t>
      </w:r>
    </w:p>
    <w:p>
      <w:pPr>
        <w:spacing w:line="440" w:lineRule="exact" w:before="0" w:after="0"/>
        <w:ind w:firstLine="480"/>
        <w:jc w:val="both"/>
      </w:pPr>
      <w:r>
        <w:rPr>
          <w:rFonts w:ascii="Times New Roman" w:hAnsi="Times New Roman" w:eastAsia="SimSun"/>
          <w:b w:val="0"/>
          <w:i w:val="0"/>
          <w:sz w:val="24"/>
        </w:rPr>
        <w:t>数据治理（Data Governance）的概念源于企业界，随后逐渐延伸至公共部门。国际数据管理协会（DAMA）将数据治理定义为对数据资产管理行使权力和控制的活动集合，包括计划、监控和执行[55]。在政务语境下，数据治理是指政府主体通过建立制度规范、组织架构和技术标准，对政务数据的全生命周期进行管理，以确保数据的质量、安全、合规及有效利用的一系列过程。政务数据治理不同于单纯的数据技术管理，它是一个涵盖制度、组织、技术和文化的综合性系统工程。其核心目标在于解决数据孤岛、数据质量低下和数据安全风险等问题，从而释放数据价值，提升政府治理能力[56]。在本研究中，政务数据治理特指在数字政府建设背景下，政府如何通过多维度的治理手段，实现政务数据从“资源”向“资产”再到“资本”的价值转化过程。</w:t>
      </w:r>
    </w:p>
    <w:p>
      <w:pPr>
        <w:spacing w:line="440" w:lineRule="exact" w:before="0" w:after="0"/>
        <w:ind w:firstLine="480"/>
        <w:jc w:val="both"/>
      </w:pPr>
      <w:r>
        <w:rPr>
          <w:rFonts w:ascii="Times New Roman" w:hAnsi="Times New Roman" w:eastAsia="SimSun"/>
          <w:b w:val="0"/>
          <w:i w:val="0"/>
          <w:sz w:val="24"/>
        </w:rPr>
        <w:t>综上所述，数字政府是政务数据治理的应用场景和目标导向，政务数据是治理的对象和核心要素，而数据治理则是实现数字政府转型的关键路径和手段。三者之间存在着紧密的逻辑耦合关系：数字政府的建设需求推动了政务数据治理体系的完善，而高效的政务数据治理又反过来支撑数字政府的智能化运行。明确这一逻辑关系，有助于后续章节深入剖析我国政务数据治理面临的现实困境及其成因。</w:t>
      </w:r>
    </w:p>
    <w:p>
      <w:pPr>
        <w:pStyle w:val="Heading2"/>
        <w:spacing w:line="440" w:lineRule="exact"/>
      </w:pPr>
      <w:r>
        <w:rPr>
          <w:rFonts w:ascii="Times New Roman" w:hAnsi="Times New Roman" w:eastAsia="SimHei"/>
          <w:b/>
          <w:i w:val="0"/>
          <w:color w:val="000000"/>
          <w:sz w:val="28"/>
        </w:rPr>
        <w:t>2.2 理论基础</w:t>
      </w:r>
    </w:p>
    <w:p>
      <w:pPr>
        <w:spacing w:line="440" w:lineRule="exact" w:before="0" w:after="0"/>
        <w:ind w:firstLine="480"/>
        <w:jc w:val="both"/>
      </w:pPr>
      <w:r>
        <w:rPr>
          <w:rFonts w:ascii="Times New Roman" w:hAnsi="Times New Roman" w:eastAsia="SimSun"/>
          <w:b w:val="0"/>
          <w:i w:val="0"/>
          <w:sz w:val="24"/>
        </w:rPr>
        <w:t>本研究主要依托整体性治理理论和数据生命周期理论，作为分析政务数据治理困境与构建优化路径的理论基石。这两个理论分别从组织制度视角和技术流程视角，为理解政务数据治理的复杂性提供了有力的解释框架。</w:t>
      </w:r>
    </w:p>
    <w:p>
      <w:pPr>
        <w:spacing w:line="440" w:lineRule="exact" w:before="0" w:after="0"/>
        <w:ind w:firstLine="480"/>
        <w:jc w:val="both"/>
      </w:pPr>
      <w:r>
        <w:rPr>
          <w:rFonts w:ascii="Times New Roman" w:hAnsi="Times New Roman" w:eastAsia="SimSun"/>
          <w:b w:val="0"/>
          <w:i w:val="0"/>
          <w:sz w:val="24"/>
        </w:rPr>
        <w:t>整体性治理理论（Holistic Governance Theory）由英国学者佩里·希克斯（Perri 6）等人提出，旨在回应新公共管理运动导致的政府碎片化问题。该理论主张通过协调、整合和责任机制，实现政策、规章、服务和监督的整体性运作[57]。在数字政府视域下，整体性治理理论为破解政务数据“孤岛”现象提供了重要的理论指引。首先，该理论强调“协调”机制，主张通过建立跨部门的协调机构或联席会议制度，解决因行政职能分割导致的数据壁垒。其次，它注重“整合”策略，提倡在组织结构、信息系统和服务交付层面进行深度整合，实现政务数据的统一汇聚和共享交换[58]。最后，整体性治理强调以公民需求为导向，要求政府打破部门界限，提供无缝隙的一站式服务，这与政务数据治理中强调的数据赋能公共服务理念高度契合。然而，现有研究多关注整体性治理在行政体制改革中的应用，较少将其具体化为数据治理的制度安排。本研究将尝试把整体性治理的理念转化为具体的数据共享机制和协同治理规则，以弥补这一理论应用的不足[59]。</w:t>
      </w:r>
    </w:p>
    <w:p>
      <w:pPr>
        <w:spacing w:line="440" w:lineRule="exact" w:before="0" w:after="0"/>
        <w:ind w:firstLine="480"/>
        <w:jc w:val="both"/>
      </w:pPr>
      <w:r>
        <w:rPr>
          <w:rFonts w:ascii="Times New Roman" w:hAnsi="Times New Roman" w:eastAsia="SimSun"/>
          <w:b w:val="0"/>
          <w:i w:val="0"/>
          <w:sz w:val="24"/>
        </w:rPr>
        <w:t>数据生命周期理论（Data Lifecycle Theory）描述了数据从产生、存储、处理、传输到销毁的全过程。国际标准ISO/IEC 20547将数据生命周期划分为创建、存储、使用、共享、归档和销毁六个阶段[60]。该理论为政务数据治理提供了全流程的管理视角。在数据创建阶段，治理重点在于源头质量控制和元数据标准制定；在存储和处理阶段，关注数据的安全性、完整性和一致性；在共享和使用阶段，核心问题是数据开放的权限管理和隐私保护；在归档和销毁阶段，则涉及数据留存期限和历史数据价值挖掘[61]。引入数据生命周期理论，有助于本研究识别政务数据在不同流转环节中存在的具体风险点和治理短板。例如，当前我国政务数据治理往往重后端应用、轻前端采集，导致源头数据质量不高；或在共享环节缺乏精细化的权限控制，引发数据安全顾虑。基于此，本研究将依据数据生命周期的各个阶段，系统梳理治理流程中的断点和堵点，从而提出针对性的优化策略[62]。</w:t>
      </w:r>
    </w:p>
    <w:p>
      <w:pPr>
        <w:spacing w:line="440" w:lineRule="exact" w:before="0" w:after="0"/>
        <w:ind w:firstLine="480"/>
        <w:jc w:val="both"/>
      </w:pPr>
      <w:r>
        <w:rPr>
          <w:rFonts w:ascii="Times New Roman" w:hAnsi="Times New Roman" w:eastAsia="SimSun"/>
          <w:b w:val="0"/>
          <w:i w:val="0"/>
          <w:sz w:val="24"/>
        </w:rPr>
        <w:t>此外，本研究还将辅助参考利益相关者理论（Stakeholder Theory）。在政务数据治理生态中，涉及政府内部各部门、社会公众、企业开发者以及第三方服务机构等多方主体。各主体在数据权益、责任承担和风险分担上存在复杂的博弈关系[63]。利益相关者理论有助于分析不同主体在数据治理过程中的动机与行为逻辑，揭示“不愿共享”、“不敢共享”背后的深层利益冲突。通过平衡各方利益诉求，构建激励相容的治理机制，是实现政务数据长效治理的关键。综上，整体性治理理论提供了宏观的组织制度框架，数据生命周期理论提供了微观的技术流程指引，而利益相关者理论则揭示了主体间的互动逻辑。三者共同构成了本研究的坚实理论基础。</w:t>
      </w:r>
    </w:p>
    <w:p>
      <w:pPr>
        <w:spacing w:before="240" w:after="120" w:line="240" w:lineRule="auto"/>
        <w:jc w:val="center"/>
      </w:pPr>
      <w:r>
        <w:drawing>
          <wp:inline xmlns:a="http://schemas.openxmlformats.org/drawingml/2006/main" xmlns:pic="http://schemas.openxmlformats.org/drawingml/2006/picture">
            <wp:extent cx="3657600" cy="3657600"/>
            <wp:docPr id="2" name="Picture 2"/>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3657600" cy="3657600"/>
                    </a:xfrm>
                    <a:prstGeom prst="rect"/>
                  </pic:spPr>
                </pic:pic>
              </a:graphicData>
            </a:graphic>
          </wp:inline>
        </w:drawing>
      </w:r>
    </w:p>
    <w:p>
      <w:pPr>
        <w:spacing w:line="440" w:lineRule="exact" w:before="120" w:after="240"/>
        <w:jc w:val="center"/>
      </w:pPr>
      <w:r>
        <w:rPr>
          <w:rFonts w:ascii="Times New Roman" w:hAnsi="Times New Roman" w:eastAsia="SimSun"/>
          <w:b w:val="0"/>
          <w:i w:val="0"/>
          <w:sz w:val="21"/>
        </w:rPr>
        <w:t>图2.1 整体性治理与数据生命周期融合的理论框架示意图（黑白线条图风格，简洁框图，无装饰，无彩色）</w:t>
      </w:r>
    </w:p>
    <w:p>
      <w:pPr>
        <w:pStyle w:val="Heading2"/>
        <w:spacing w:line="440" w:lineRule="exact"/>
      </w:pPr>
      <w:r>
        <w:rPr>
          <w:rFonts w:ascii="Times New Roman" w:hAnsi="Times New Roman" w:eastAsia="SimHei"/>
          <w:b/>
          <w:i w:val="0"/>
          <w:color w:val="000000"/>
          <w:sz w:val="28"/>
        </w:rPr>
        <w:t>2.3 政务数据治理的分析框架构建</w:t>
      </w:r>
    </w:p>
    <w:p>
      <w:pPr>
        <w:spacing w:line="440" w:lineRule="exact" w:before="0" w:after="0"/>
        <w:ind w:firstLine="480"/>
        <w:jc w:val="both"/>
      </w:pPr>
      <w:r>
        <w:rPr>
          <w:rFonts w:ascii="Times New Roman" w:hAnsi="Times New Roman" w:eastAsia="SimSun"/>
          <w:b w:val="0"/>
          <w:i w:val="0"/>
          <w:sz w:val="24"/>
        </w:rPr>
        <w:t>基于上述核心概念界定与理论基础，本研究构建了一个“制度-技术-组织”三维分析框架，用于系统剖析数字政府视域下政务数据治理的困境及其成因。该框架认为，政务数据治理效能的提升取决于制度规范的完善、技术能力的支撑以及组织结构的适配，三者相互依存、相互作用，共同构成一个有机的治理生态系统。</w:t>
      </w:r>
    </w:p>
    <w:p>
      <w:pPr>
        <w:spacing w:line="440" w:lineRule="exact" w:before="0" w:after="0"/>
        <w:ind w:firstLine="480"/>
        <w:jc w:val="both"/>
      </w:pPr>
      <w:r>
        <w:rPr>
          <w:rFonts w:ascii="Times New Roman" w:hAnsi="Times New Roman" w:eastAsia="SimSun"/>
          <w:b w:val="0"/>
          <w:i w:val="0"/>
          <w:sz w:val="24"/>
        </w:rPr>
        <w:t>第一维度是制度维度（Institutional Dimension）。制度是政务数据治理的规则基础，包括法律法规、政策标准、伦理规范等。在整体性治理视角下，制度维度的核心任务是确立数据权属、明确共享责任、规范操作流程。具体而言，它涵盖了数据产权界定制度、数据分类分级标准、数据开放共享管理办法以及数据安全隐私保护法规等[64]。制度维度的缺失或滞后，往往导致治理主体无法可依、无章可循，进而引发数据滥用或共享停滞。本研究将通过分析现行法律政策的完备性与执行力，评估制度供给对治理效能的影响。</w:t>
      </w:r>
    </w:p>
    <w:p>
      <w:pPr>
        <w:spacing w:line="440" w:lineRule="exact" w:before="0" w:after="0"/>
        <w:ind w:firstLine="480"/>
        <w:jc w:val="both"/>
      </w:pPr>
      <w:r>
        <w:rPr>
          <w:rFonts w:ascii="Times New Roman" w:hAnsi="Times New Roman" w:eastAsia="SimSun"/>
          <w:b w:val="0"/>
          <w:i w:val="0"/>
          <w:sz w:val="24"/>
        </w:rPr>
        <w:t>第二维度是技术维度（Technological Dimension）。技术是政务数据治理的物质载体和实现手段。基于数据生命周期理论，技术维度贯穿数据采集、存储、处理、交换和应用的全过程。关键的技术要素包括统一的数据标准体系、高效的数据交换平台、先进的数据分析算法以及可靠的安全防护技术[65]。技术维度的短板，如标准不统一、平台兼容性差、安全防护能力弱，将直接制约数据流动的效率和安全性。本研究将重点考察技术标准的一致性以及基础设施的支撑能力，分析技术障碍如何阻碍数据价值的释放。</w:t>
      </w:r>
    </w:p>
    <w:p>
      <w:pPr>
        <w:spacing w:line="440" w:lineRule="exact" w:before="0" w:after="0"/>
        <w:ind w:firstLine="480"/>
        <w:jc w:val="both"/>
      </w:pPr>
      <w:r>
        <w:rPr>
          <w:rFonts w:ascii="Times New Roman" w:hAnsi="Times New Roman" w:eastAsia="SimSun"/>
          <w:b w:val="0"/>
          <w:i w:val="0"/>
          <w:sz w:val="24"/>
        </w:rPr>
        <w:t>第三维度是组织维度（Organizational Dimension）。组织是政务数据治理的执行主体和动力源泉。依据利益相关者理论和整体性治理理论，组织维度关注治理主体的结构设置、职责分工、协同机制以及人员素质。具体包括首席数据官（CDO）制度的建立、跨部门协调机构的运作、数据管理团队的配置以及公务员数字素养的提升[66]。组织维度的僵化或碎片化，如部门利益固化、协同机制缺失、专业人才匮乏，是导致“数据孤岛”难以打破的根本原因。本研究将深入分析组织架构对数据共享意愿和能力的影响，探讨如何通过组织重构激发治理活力。</w:t>
      </w:r>
    </w:p>
    <w:p>
      <w:pPr>
        <w:spacing w:line="440" w:lineRule="exact" w:before="0" w:after="0"/>
        <w:ind w:firstLine="480"/>
        <w:jc w:val="both"/>
      </w:pPr>
      <w:r>
        <w:rPr>
          <w:rFonts w:ascii="Times New Roman" w:hAnsi="Times New Roman" w:eastAsia="SimSun"/>
          <w:b w:val="0"/>
          <w:i w:val="0"/>
          <w:sz w:val="24"/>
        </w:rPr>
        <w:t>这三个维度并非孤立存在，而是通过复杂的互动机制影响治理绩效。制度为技术和组织提供规范指引，技术为制度和组织提供实施工具，组织则是制度落地和技术应用的主体保障。例如，完善的数据安全法律制度（制度）需要依靠加密技术和访问控制技术（技术）来落实，同时也需要专门的安全管理团队（组织）来执行。反之，技术的创新也可能推动制度的变革和组织流程的再造。本研究将运用这一三维框架，在第3章和第4章中全面诊断我国政务数据治理的现状与问题，并在第6章中提出系统性的优化路径。</w:t>
      </w:r>
    </w:p>
    <w:p>
      <w:pPr>
        <w:spacing w:line="440" w:lineRule="exact" w:before="240" w:after="120"/>
        <w:jc w:val="center"/>
      </w:pPr>
      <w:r>
        <w:rPr>
          <w:rFonts w:ascii="Times New Roman" w:hAnsi="Times New Roman" w:eastAsia="SimSun"/>
          <w:b w:val="0"/>
          <w:i w:val="0"/>
          <w:sz w:val="24"/>
        </w:rPr>
        <w:t>表2.1 政务数据治理“制度-技术-组织”三维分析框架要素表</w:t>
      </w:r>
    </w:p>
    <w:tbl>
      <w:tblPr>
        <w:tblW w:type="auto" w:w="0"/>
        <w:tblLook w:firstColumn="1" w:firstRow="1" w:lastColumn="0" w:lastRow="0" w:noHBand="0" w:noVBand="1" w:val="04A0"/>
        <w:tblBorders>
          <w:top w:val="single" w:sz="12" w:color="auto" w:space="0"/>
          <w:bottom w:val="single" w:sz="12" w:color="auto" w:space="0"/>
          <w:left w:val="none" w:sz="0" w:color="auto" w:space="0"/>
          <w:right w:val="none" w:sz="0" w:color="auto" w:space="0"/>
          <w:insideH w:val="none" w:sz="0" w:color="auto" w:space="0"/>
          <w:insideV w:val="none" w:sz="0" w:color="auto" w:space="0"/>
        </w:tblBorders>
      </w:tblPr>
      <w:tblGrid>
        <w:gridCol w:w="2197"/>
        <w:gridCol w:w="2197"/>
        <w:gridCol w:w="2197"/>
        <w:gridCol w:w="2197"/>
      </w:tblGrid>
      <w:tr>
        <w:tc>
          <w:tcPr>
            <w:tcW w:type="dxa" w:w="2197"/>
            <w:tcBorders>
              <w:bottom w:val="single" w:sz="6" w:color="auto" w:space="0"/>
            </w:tcBorders>
          </w:tcPr>
          <w:p>
            <w:pPr>
              <w:jc w:val="center"/>
            </w:pPr>
            <w:r/>
            <w:r>
              <w:rPr>
                <w:rFonts w:ascii="Times New Roman" w:hAnsi="Times New Roman" w:eastAsia="SimSun"/>
                <w:b/>
                <w:i w:val="0"/>
                <w:sz w:val="21"/>
              </w:rPr>
              <w:t>维度</w:t>
            </w:r>
          </w:p>
        </w:tc>
        <w:tc>
          <w:tcPr>
            <w:tcW w:type="dxa" w:w="2197"/>
            <w:tcBorders>
              <w:bottom w:val="single" w:sz="6" w:color="auto" w:space="0"/>
            </w:tcBorders>
          </w:tcPr>
          <w:p>
            <w:pPr>
              <w:jc w:val="center"/>
            </w:pPr>
            <w:r/>
            <w:r>
              <w:rPr>
                <w:rFonts w:ascii="Times New Roman" w:hAnsi="Times New Roman" w:eastAsia="SimSun"/>
                <w:b/>
                <w:i w:val="0"/>
                <w:sz w:val="21"/>
              </w:rPr>
              <w:t>核心要素</w:t>
            </w:r>
          </w:p>
        </w:tc>
        <w:tc>
          <w:tcPr>
            <w:tcW w:type="dxa" w:w="2197"/>
            <w:tcBorders>
              <w:bottom w:val="single" w:sz="6" w:color="auto" w:space="0"/>
            </w:tcBorders>
          </w:tcPr>
          <w:p>
            <w:pPr>
              <w:jc w:val="center"/>
            </w:pPr>
            <w:r/>
            <w:r>
              <w:rPr>
                <w:rFonts w:ascii="Times New Roman" w:hAnsi="Times New Roman" w:eastAsia="SimSun"/>
                <w:b/>
                <w:i w:val="0"/>
                <w:sz w:val="21"/>
              </w:rPr>
              <w:t>关键指标</w:t>
            </w:r>
          </w:p>
        </w:tc>
        <w:tc>
          <w:tcPr>
            <w:tcW w:type="dxa" w:w="2197"/>
            <w:tcBorders>
              <w:bottom w:val="single" w:sz="6" w:color="auto" w:space="0"/>
            </w:tcBorders>
          </w:tcPr>
          <w:p>
            <w:pPr>
              <w:jc w:val="center"/>
            </w:pPr>
            <w:r/>
            <w:r>
              <w:rPr>
                <w:rFonts w:ascii="Times New Roman" w:hAnsi="Times New Roman" w:eastAsia="SimSun"/>
                <w:b/>
                <w:i w:val="0"/>
                <w:sz w:val="21"/>
              </w:rPr>
              <w:t>理论支撑</w:t>
            </w:r>
          </w:p>
        </w:tc>
      </w:tr>
      <w:tr>
        <w:tc>
          <w:tcPr>
            <w:tcW w:type="dxa" w:w="2197"/>
          </w:tcPr>
          <w:p>
            <w:pPr>
              <w:jc w:val="center"/>
            </w:pPr>
            <w:r/>
            <w:r>
              <w:rPr>
                <w:rFonts w:ascii="Times New Roman" w:hAnsi="Times New Roman" w:eastAsia="SimSun"/>
                <w:b w:val="0"/>
                <w:i w:val="0"/>
                <w:sz w:val="21"/>
              </w:rPr>
              <w:t>制度维度</w:t>
            </w:r>
          </w:p>
        </w:tc>
        <w:tc>
          <w:tcPr>
            <w:tcW w:type="dxa" w:w="2197"/>
          </w:tcPr>
          <w:p>
            <w:pPr>
              <w:jc w:val="center"/>
            </w:pPr>
            <w:r/>
            <w:r>
              <w:rPr>
                <w:rFonts w:ascii="Times New Roman" w:hAnsi="Times New Roman" w:eastAsia="SimSun"/>
                <w:b w:val="0"/>
                <w:i w:val="0"/>
                <w:sz w:val="21"/>
              </w:rPr>
              <w:t>法律法规、政策标准、伦理规范</w:t>
            </w:r>
          </w:p>
        </w:tc>
        <w:tc>
          <w:tcPr>
            <w:tcW w:type="dxa" w:w="2197"/>
          </w:tcPr>
          <w:p>
            <w:pPr>
              <w:jc w:val="center"/>
            </w:pPr>
            <w:r/>
            <w:r>
              <w:rPr>
                <w:rFonts w:ascii="Times New Roman" w:hAnsi="Times New Roman" w:eastAsia="SimSun"/>
                <w:b w:val="0"/>
                <w:i w:val="0"/>
                <w:sz w:val="21"/>
              </w:rPr>
              <w:t>法律完备率、标准覆盖率、执行力度</w:t>
            </w:r>
          </w:p>
        </w:tc>
        <w:tc>
          <w:tcPr>
            <w:tcW w:type="dxa" w:w="2197"/>
          </w:tcPr>
          <w:p>
            <w:pPr>
              <w:jc w:val="center"/>
            </w:pPr>
            <w:r/>
            <w:r>
              <w:rPr>
                <w:rFonts w:ascii="Times New Roman" w:hAnsi="Times New Roman" w:eastAsia="SimSun"/>
                <w:b w:val="0"/>
                <w:i w:val="0"/>
                <w:sz w:val="21"/>
              </w:rPr>
              <w:t>整体性治理理论</w:t>
            </w:r>
          </w:p>
        </w:tc>
      </w:tr>
      <w:tr>
        <w:tc>
          <w:tcPr>
            <w:tcW w:type="dxa" w:w="2197"/>
          </w:tcPr>
          <w:p>
            <w:pPr>
              <w:jc w:val="center"/>
            </w:pPr>
            <w:r/>
            <w:r>
              <w:rPr>
                <w:rFonts w:ascii="Times New Roman" w:hAnsi="Times New Roman" w:eastAsia="SimSun"/>
                <w:b w:val="0"/>
                <w:i w:val="0"/>
                <w:sz w:val="21"/>
              </w:rPr>
              <w:t>技术维度</w:t>
            </w:r>
          </w:p>
        </w:tc>
        <w:tc>
          <w:tcPr>
            <w:tcW w:type="dxa" w:w="2197"/>
          </w:tcPr>
          <w:p>
            <w:pPr>
              <w:jc w:val="center"/>
            </w:pPr>
            <w:r/>
            <w:r>
              <w:rPr>
                <w:rFonts w:ascii="Times New Roman" w:hAnsi="Times New Roman" w:eastAsia="SimSun"/>
                <w:b w:val="0"/>
                <w:i w:val="0"/>
                <w:sz w:val="21"/>
              </w:rPr>
              <w:t>数据标准、交换平台、算法模型、安全技术</w:t>
            </w:r>
          </w:p>
        </w:tc>
        <w:tc>
          <w:tcPr>
            <w:tcW w:type="dxa" w:w="2197"/>
          </w:tcPr>
          <w:p>
            <w:pPr>
              <w:jc w:val="center"/>
            </w:pPr>
            <w:r/>
            <w:r>
              <w:rPr>
                <w:rFonts w:ascii="Times New Roman" w:hAnsi="Times New Roman" w:eastAsia="SimSun"/>
                <w:b w:val="0"/>
                <w:i w:val="0"/>
                <w:sz w:val="21"/>
              </w:rPr>
              <w:t>标准一致性、平台互通率、安全防护等级</w:t>
            </w:r>
          </w:p>
        </w:tc>
        <w:tc>
          <w:tcPr>
            <w:tcW w:type="dxa" w:w="2197"/>
          </w:tcPr>
          <w:p>
            <w:pPr>
              <w:jc w:val="center"/>
            </w:pPr>
            <w:r/>
            <w:r>
              <w:rPr>
                <w:rFonts w:ascii="Times New Roman" w:hAnsi="Times New Roman" w:eastAsia="SimSun"/>
                <w:b w:val="0"/>
                <w:i w:val="0"/>
                <w:sz w:val="21"/>
              </w:rPr>
              <w:t>数据生命周期理论</w:t>
            </w:r>
          </w:p>
        </w:tc>
      </w:tr>
      <w:tr>
        <w:tc>
          <w:tcPr>
            <w:tcW w:type="dxa" w:w="2197"/>
          </w:tcPr>
          <w:p>
            <w:pPr>
              <w:jc w:val="center"/>
            </w:pPr>
            <w:r/>
            <w:r>
              <w:rPr>
                <w:rFonts w:ascii="Times New Roman" w:hAnsi="Times New Roman" w:eastAsia="SimSun"/>
                <w:b w:val="0"/>
                <w:i w:val="0"/>
                <w:sz w:val="21"/>
              </w:rPr>
              <w:t>组织维度</w:t>
            </w:r>
          </w:p>
        </w:tc>
        <w:tc>
          <w:tcPr>
            <w:tcW w:type="dxa" w:w="2197"/>
          </w:tcPr>
          <w:p>
            <w:pPr>
              <w:jc w:val="center"/>
            </w:pPr>
            <w:r/>
            <w:r>
              <w:rPr>
                <w:rFonts w:ascii="Times New Roman" w:hAnsi="Times New Roman" w:eastAsia="SimSun"/>
                <w:b w:val="0"/>
                <w:i w:val="0"/>
                <w:sz w:val="21"/>
              </w:rPr>
              <w:t>机构设置、职责分工、协同机制、人员素质</w:t>
            </w:r>
          </w:p>
        </w:tc>
        <w:tc>
          <w:tcPr>
            <w:tcW w:type="dxa" w:w="2197"/>
          </w:tcPr>
          <w:p>
            <w:pPr>
              <w:jc w:val="center"/>
            </w:pPr>
            <w:r/>
            <w:r>
              <w:rPr>
                <w:rFonts w:ascii="Times New Roman" w:hAnsi="Times New Roman" w:eastAsia="SimSun"/>
                <w:b w:val="0"/>
                <w:i w:val="0"/>
                <w:sz w:val="21"/>
              </w:rPr>
              <w:t>CDO设立率、跨部门协作频率、数字素养指数</w:t>
            </w:r>
          </w:p>
        </w:tc>
        <w:tc>
          <w:tcPr>
            <w:tcW w:type="dxa" w:w="2197"/>
          </w:tcPr>
          <w:p>
            <w:pPr>
              <w:jc w:val="center"/>
            </w:pPr>
            <w:r/>
            <w:r>
              <w:rPr>
                <w:rFonts w:ascii="Times New Roman" w:hAnsi="Times New Roman" w:eastAsia="SimSun"/>
                <w:b w:val="0"/>
                <w:i w:val="0"/>
                <w:sz w:val="21"/>
              </w:rPr>
              <w:t>利益相关者理论</w:t>
            </w:r>
          </w:p>
        </w:tc>
      </w:tr>
    </w:tbl>
    <w:p>
      <w:pPr>
        <w:pStyle w:val="Heading2"/>
        <w:spacing w:line="440" w:lineRule="exact"/>
      </w:pPr>
      <w:r>
        <w:rPr>
          <w:rFonts w:ascii="Times New Roman" w:hAnsi="Times New Roman" w:eastAsia="SimHei"/>
          <w:b/>
          <w:i w:val="0"/>
          <w:color w:val="000000"/>
          <w:sz w:val="28"/>
        </w:rPr>
        <w:t>2.4 本章小结</w:t>
      </w:r>
    </w:p>
    <w:p>
      <w:pPr>
        <w:spacing w:line="440" w:lineRule="exact" w:before="0" w:after="0"/>
        <w:ind w:firstLine="480"/>
        <w:jc w:val="both"/>
      </w:pPr>
      <w:r>
        <w:rPr>
          <w:rFonts w:ascii="Times New Roman" w:hAnsi="Times New Roman" w:eastAsia="SimSun"/>
          <w:b w:val="0"/>
          <w:i w:val="0"/>
          <w:sz w:val="24"/>
        </w:rPr>
        <w:t>本章首先对数字政府、政务数据和数据治理三个核心概念进行了界定，明确了研究对象及其在本文中的特定内涵。其次，系统梳理了整体性治理理论、数据生命周期理论和利益相关者理论，阐述了其对政务数据治理研究的适用性与指导意义。在此基础上，构建了“制度-技术-组织”三维分析框架，将制度规范、技术支撑和组织协同纳入统一的分析视野。该框架不仅为后续章节深入剖析我国政务数据治理的现实困境提供了逻辑起点，也为提出系统性的优化路径奠定了理论基础。通过这一框架，本研究力求超越单一的技术或制度视角，从多维度、多层次揭示政务数据治理的复杂机理。</w:t>
      </w:r>
    </w:p>
    <w:p>
      <w:pPr>
        <w:pStyle w:val="Heading1"/>
        <w:spacing w:line="480" w:lineRule="exact"/>
      </w:pPr>
      <w:r>
        <w:rPr>
          <w:rFonts w:ascii="Times New Roman" w:hAnsi="Times New Roman" w:eastAsia="SimHei"/>
          <w:b/>
          <w:i w:val="0"/>
          <w:color w:val="000000"/>
          <w:sz w:val="32"/>
        </w:rPr>
        <w:t>第3章 我国政务数据治理的现状与问题分析</w:t>
      </w:r>
    </w:p>
    <w:p>
      <w:pPr>
        <w:pStyle w:val="Heading2"/>
        <w:spacing w:line="440" w:lineRule="exact"/>
      </w:pPr>
      <w:r>
        <w:rPr>
          <w:rFonts w:ascii="Times New Roman" w:hAnsi="Times New Roman" w:eastAsia="SimHei"/>
          <w:b/>
          <w:i w:val="0"/>
          <w:color w:val="000000"/>
          <w:sz w:val="28"/>
        </w:rPr>
        <w:t>3.1 我国政务数据治理的政策演进与实践现状</w:t>
      </w:r>
    </w:p>
    <w:p>
      <w:pPr>
        <w:spacing w:line="440" w:lineRule="exact" w:before="0" w:after="0"/>
        <w:ind w:firstLine="480"/>
        <w:jc w:val="both"/>
      </w:pPr>
      <w:r>
        <w:rPr>
          <w:rFonts w:ascii="Times New Roman" w:hAnsi="Times New Roman" w:eastAsia="SimSun"/>
          <w:b w:val="0"/>
          <w:i w:val="0"/>
          <w:sz w:val="24"/>
        </w:rPr>
        <w:t>本章承接第二章构建的“制度-技术-组织”三维分析框架，旨在系统梳理我国政务数据治理的历史脉络与现实图景。通过对政策文本的纵向梳理和典型实践模式的横向考察，揭示我国政务数据治理从“电子化”向“数字化”再到“智能化”转型的基本特征，为后续章节深入剖析治理困境提供事实依据。我国政务数据治理并非一蹴而就，而是伴随着数字政府建设的推进，经历了由点及面、由浅入深的渐进式发展过程。</w:t>
      </w:r>
    </w:p>
    <w:p>
      <w:pPr>
        <w:spacing w:line="440" w:lineRule="exact" w:before="0" w:after="0"/>
        <w:ind w:firstLine="480"/>
        <w:jc w:val="both"/>
      </w:pPr>
      <w:r>
        <w:rPr>
          <w:rFonts w:ascii="Times New Roman" w:hAnsi="Times New Roman" w:eastAsia="SimSun"/>
          <w:b w:val="0"/>
          <w:i w:val="0"/>
          <w:sz w:val="24"/>
        </w:rPr>
        <w:t>回顾过去二十余年，我国政务数据治理的政策演进大致可划分为三个阶段。第一阶段为起步探索期（2002-2015年），以“金字工程”和电子政务建设为核心，重点解决政府部门内部的信息录入与流程电子化问题。这一时期，虽然建立了大量的业务数据库，但部门间缺乏统一的数据标准，形成了早期的“信息烟囱”[67]。第二阶段为整合共享期（2016-2020年），以国务院印发《政务信息资源共享管理暂行办法》为标志，国家层面开始强力推动跨部门数据共享，各地纷纷建立大数据管理局，试图通过行政手段打破数据壁垒[68]。第三阶段为深化应用期（2021年至今），随着《数据安全法》《个人信息保护法》的实施以及“数据要素”概念的确立，政务数据治理转向价值释放与安全合规并重，强调数据在社会治理和公共服务中的赋能作用[69]。</w:t>
      </w:r>
    </w:p>
    <w:p>
      <w:pPr>
        <w:spacing w:line="440" w:lineRule="exact" w:before="0" w:after="0"/>
        <w:ind w:firstLine="480"/>
        <w:jc w:val="both"/>
      </w:pPr>
      <w:r>
        <w:rPr>
          <w:rFonts w:ascii="Times New Roman" w:hAnsi="Times New Roman" w:eastAsia="SimSun"/>
          <w:b w:val="0"/>
          <w:i w:val="0"/>
          <w:sz w:val="24"/>
        </w:rPr>
        <w:t>在实践层面，我国已形成“中央统筹、地方试点、多元参与”的治理格局。中央层面，国家数据局的成立标志着政务数据治理进入了专业化、集约化的新阶段，负责协调推进数据基础制度建设，统筹数据资源整合共享和开发利用[70]。地方层面涌现出多种创新模式：以上海为代表的“一网通办”模式，侧重于通过数据回流提升政务服务效率；以贵州为代表的“云上贵州”模式，依托云平台实现全省政务数据的物理集中；以浙江为代表的“最多跑一次”改革，则通过业务流程再造倒逼数据共享[71]。这些实践在一定程度上提升了政府运行效率，但也暴露出区域发展不平衡、标准不统一等问题。</w:t>
      </w:r>
    </w:p>
    <w:p>
      <w:pPr>
        <w:spacing w:line="440" w:lineRule="exact" w:before="0" w:after="0"/>
        <w:ind w:firstLine="480"/>
        <w:jc w:val="both"/>
      </w:pPr>
      <w:r>
        <w:rPr>
          <w:rFonts w:ascii="Times New Roman" w:hAnsi="Times New Roman" w:eastAsia="SimSun"/>
          <w:b w:val="0"/>
          <w:i w:val="0"/>
          <w:sz w:val="24"/>
        </w:rPr>
        <w:t>尽管取得了显著进展，但当前我国政务数据治理仍处于攻坚期。根据最新调查显示，虽然省级政务数据共享平台已基本建成，但实际调用率和高价值数据集的开放比例仍然偏低[72]。此外，基层政府在数据采集、清洗和维护环节面临巨大压力，“重建设、轻运营”现象普遍存在。这种现状表明，单纯的技术投入和行政命令已不足以解决深层次的治理难题，必须从体制机制、法律法规及技术标准等多维度进行系统性反思。</w:t>
      </w:r>
    </w:p>
    <w:p>
      <w:pPr>
        <w:spacing w:line="440" w:lineRule="exact" w:before="240" w:after="120"/>
        <w:jc w:val="center"/>
      </w:pPr>
      <w:r>
        <w:rPr>
          <w:rFonts w:ascii="Times New Roman" w:hAnsi="Times New Roman" w:eastAsia="SimSun"/>
          <w:b w:val="0"/>
          <w:i w:val="0"/>
          <w:sz w:val="24"/>
        </w:rPr>
        <w:t>表3.1 我国政务数据治理政策演进阶段特征</w:t>
      </w:r>
    </w:p>
    <w:tbl>
      <w:tblPr>
        <w:tblW w:type="auto" w:w="0"/>
        <w:tblLook w:firstColumn="1" w:firstRow="1" w:lastColumn="0" w:lastRow="0" w:noHBand="0" w:noVBand="1" w:val="04A0"/>
        <w:tblBorders>
          <w:top w:val="single" w:sz="12" w:color="auto" w:space="0"/>
          <w:bottom w:val="single" w:sz="12" w:color="auto" w:space="0"/>
          <w:left w:val="none" w:sz="0" w:color="auto" w:space="0"/>
          <w:right w:val="none" w:sz="0" w:color="auto" w:space="0"/>
          <w:insideH w:val="none" w:sz="0" w:color="auto" w:space="0"/>
          <w:insideV w:val="none" w:sz="0" w:color="auto" w:space="0"/>
        </w:tblBorders>
      </w:tblPr>
      <w:tblGrid>
        <w:gridCol w:w="1758"/>
        <w:gridCol w:w="1758"/>
        <w:gridCol w:w="1758"/>
        <w:gridCol w:w="1758"/>
        <w:gridCol w:w="1758"/>
      </w:tblGrid>
      <w:tr>
        <w:tc>
          <w:tcPr>
            <w:tcW w:type="dxa" w:w="1758"/>
            <w:tcBorders>
              <w:bottom w:val="single" w:sz="6" w:color="auto" w:space="0"/>
            </w:tcBorders>
          </w:tcPr>
          <w:p>
            <w:pPr>
              <w:jc w:val="center"/>
            </w:pPr>
            <w:r/>
            <w:r>
              <w:rPr>
                <w:rFonts w:ascii="Times New Roman" w:hAnsi="Times New Roman" w:eastAsia="SimSun"/>
                <w:b/>
                <w:i w:val="0"/>
                <w:sz w:val="21"/>
              </w:rPr>
              <w:t>阶段</w:t>
            </w:r>
          </w:p>
        </w:tc>
        <w:tc>
          <w:tcPr>
            <w:tcW w:type="dxa" w:w="1758"/>
            <w:tcBorders>
              <w:bottom w:val="single" w:sz="6" w:color="auto" w:space="0"/>
            </w:tcBorders>
          </w:tcPr>
          <w:p>
            <w:pPr>
              <w:jc w:val="center"/>
            </w:pPr>
            <w:r/>
            <w:r>
              <w:rPr>
                <w:rFonts w:ascii="Times New Roman" w:hAnsi="Times New Roman" w:eastAsia="SimSun"/>
                <w:b/>
                <w:i w:val="0"/>
                <w:sz w:val="21"/>
              </w:rPr>
              <w:t>时间跨度</w:t>
            </w:r>
          </w:p>
        </w:tc>
        <w:tc>
          <w:tcPr>
            <w:tcW w:type="dxa" w:w="1758"/>
            <w:tcBorders>
              <w:bottom w:val="single" w:sz="6" w:color="auto" w:space="0"/>
            </w:tcBorders>
          </w:tcPr>
          <w:p>
            <w:pPr>
              <w:jc w:val="center"/>
            </w:pPr>
            <w:r/>
            <w:r>
              <w:rPr>
                <w:rFonts w:ascii="Times New Roman" w:hAnsi="Times New Roman" w:eastAsia="SimSun"/>
                <w:b/>
                <w:i w:val="0"/>
                <w:sz w:val="21"/>
              </w:rPr>
              <w:t>核心政策/事件</w:t>
            </w:r>
          </w:p>
        </w:tc>
        <w:tc>
          <w:tcPr>
            <w:tcW w:type="dxa" w:w="1758"/>
            <w:tcBorders>
              <w:bottom w:val="single" w:sz="6" w:color="auto" w:space="0"/>
            </w:tcBorders>
          </w:tcPr>
          <w:p>
            <w:pPr>
              <w:jc w:val="center"/>
            </w:pPr>
            <w:r/>
            <w:r>
              <w:rPr>
                <w:rFonts w:ascii="Times New Roman" w:hAnsi="Times New Roman" w:eastAsia="SimSun"/>
                <w:b/>
                <w:i w:val="0"/>
                <w:sz w:val="21"/>
              </w:rPr>
              <w:t>主要特征</w:t>
            </w:r>
          </w:p>
        </w:tc>
        <w:tc>
          <w:tcPr>
            <w:tcW w:type="dxa" w:w="1758"/>
            <w:tcBorders>
              <w:bottom w:val="single" w:sz="6" w:color="auto" w:space="0"/>
            </w:tcBorders>
          </w:tcPr>
          <w:p>
            <w:pPr>
              <w:jc w:val="center"/>
            </w:pPr>
            <w:r/>
            <w:r>
              <w:rPr>
                <w:rFonts w:ascii="Times New Roman" w:hAnsi="Times New Roman" w:eastAsia="SimSun"/>
                <w:b/>
                <w:i w:val="0"/>
                <w:sz w:val="21"/>
              </w:rPr>
              <w:t>治理重点</w:t>
            </w:r>
          </w:p>
        </w:tc>
      </w:tr>
      <w:tr>
        <w:tc>
          <w:tcPr>
            <w:tcW w:type="dxa" w:w="1758"/>
          </w:tcPr>
          <w:p>
            <w:pPr>
              <w:jc w:val="center"/>
            </w:pPr>
            <w:r/>
            <w:r>
              <w:rPr>
                <w:rFonts w:ascii="Times New Roman" w:hAnsi="Times New Roman" w:eastAsia="SimSun"/>
                <w:b w:val="0"/>
                <w:i w:val="0"/>
                <w:sz w:val="21"/>
              </w:rPr>
              <w:t>起步探索期</w:t>
            </w:r>
          </w:p>
        </w:tc>
        <w:tc>
          <w:tcPr>
            <w:tcW w:type="dxa" w:w="1758"/>
          </w:tcPr>
          <w:p>
            <w:pPr>
              <w:jc w:val="center"/>
            </w:pPr>
            <w:r/>
            <w:r>
              <w:rPr>
                <w:rFonts w:ascii="Times New Roman" w:hAnsi="Times New Roman" w:eastAsia="SimSun"/>
                <w:b w:val="0"/>
                <w:i w:val="0"/>
                <w:sz w:val="21"/>
              </w:rPr>
              <w:t>2002-2015</w:t>
            </w:r>
          </w:p>
        </w:tc>
        <w:tc>
          <w:tcPr>
            <w:tcW w:type="dxa" w:w="1758"/>
          </w:tcPr>
          <w:p>
            <w:pPr>
              <w:jc w:val="center"/>
            </w:pPr>
            <w:r/>
            <w:r>
              <w:rPr>
                <w:rFonts w:ascii="Times New Roman" w:hAnsi="Times New Roman" w:eastAsia="SimSun"/>
                <w:b w:val="0"/>
                <w:i w:val="0"/>
                <w:sz w:val="21"/>
              </w:rPr>
              <w:t>金字工程、电子政务规划</w:t>
            </w:r>
          </w:p>
        </w:tc>
        <w:tc>
          <w:tcPr>
            <w:tcW w:type="dxa" w:w="1758"/>
          </w:tcPr>
          <w:p>
            <w:pPr>
              <w:jc w:val="center"/>
            </w:pPr>
            <w:r/>
            <w:r>
              <w:rPr>
                <w:rFonts w:ascii="Times New Roman" w:hAnsi="Times New Roman" w:eastAsia="SimSun"/>
                <w:b w:val="0"/>
                <w:i w:val="0"/>
                <w:sz w:val="21"/>
              </w:rPr>
              <w:t>部门内电子化，信息烟囱林立</w:t>
            </w:r>
          </w:p>
        </w:tc>
        <w:tc>
          <w:tcPr>
            <w:tcW w:type="dxa" w:w="1758"/>
          </w:tcPr>
          <w:p>
            <w:pPr>
              <w:jc w:val="center"/>
            </w:pPr>
            <w:r/>
            <w:r>
              <w:rPr>
                <w:rFonts w:ascii="Times New Roman" w:hAnsi="Times New Roman" w:eastAsia="SimSun"/>
                <w:b w:val="0"/>
                <w:i w:val="0"/>
                <w:sz w:val="21"/>
              </w:rPr>
              <w:t>业务流程信息化</w:t>
            </w:r>
          </w:p>
        </w:tc>
      </w:tr>
      <w:tr>
        <w:tc>
          <w:tcPr>
            <w:tcW w:type="dxa" w:w="1758"/>
          </w:tcPr>
          <w:p>
            <w:pPr>
              <w:jc w:val="center"/>
            </w:pPr>
            <w:r/>
            <w:r>
              <w:rPr>
                <w:rFonts w:ascii="Times New Roman" w:hAnsi="Times New Roman" w:eastAsia="SimSun"/>
                <w:b w:val="0"/>
                <w:i w:val="0"/>
                <w:sz w:val="21"/>
              </w:rPr>
              <w:t>整合共享期</w:t>
            </w:r>
          </w:p>
        </w:tc>
        <w:tc>
          <w:tcPr>
            <w:tcW w:type="dxa" w:w="1758"/>
          </w:tcPr>
          <w:p>
            <w:pPr>
              <w:jc w:val="center"/>
            </w:pPr>
            <w:r/>
            <w:r>
              <w:rPr>
                <w:rFonts w:ascii="Times New Roman" w:hAnsi="Times New Roman" w:eastAsia="SimSun"/>
                <w:b w:val="0"/>
                <w:i w:val="0"/>
                <w:sz w:val="21"/>
              </w:rPr>
              <w:t>2016-2020</w:t>
            </w:r>
          </w:p>
        </w:tc>
        <w:tc>
          <w:tcPr>
            <w:tcW w:type="dxa" w:w="1758"/>
          </w:tcPr>
          <w:p>
            <w:pPr>
              <w:jc w:val="center"/>
            </w:pPr>
            <w:r/>
            <w:r>
              <w:rPr>
                <w:rFonts w:ascii="Times New Roman" w:hAnsi="Times New Roman" w:eastAsia="SimSun"/>
                <w:b w:val="0"/>
                <w:i w:val="0"/>
                <w:sz w:val="21"/>
              </w:rPr>
              <w:t>政务信息资源共享管理暂行办法</w:t>
            </w:r>
          </w:p>
        </w:tc>
        <w:tc>
          <w:tcPr>
            <w:tcW w:type="dxa" w:w="1758"/>
          </w:tcPr>
          <w:p>
            <w:pPr>
              <w:jc w:val="center"/>
            </w:pPr>
            <w:r/>
            <w:r>
              <w:rPr>
                <w:rFonts w:ascii="Times New Roman" w:hAnsi="Times New Roman" w:eastAsia="SimSun"/>
                <w:b w:val="0"/>
                <w:i w:val="0"/>
                <w:sz w:val="21"/>
              </w:rPr>
              <w:t>跨部门共享，大数据局成立</w:t>
            </w:r>
          </w:p>
        </w:tc>
        <w:tc>
          <w:tcPr>
            <w:tcW w:type="dxa" w:w="1758"/>
          </w:tcPr>
          <w:p>
            <w:pPr>
              <w:jc w:val="center"/>
            </w:pPr>
            <w:r/>
            <w:r>
              <w:rPr>
                <w:rFonts w:ascii="Times New Roman" w:hAnsi="Times New Roman" w:eastAsia="SimSun"/>
                <w:b w:val="0"/>
                <w:i w:val="0"/>
                <w:sz w:val="21"/>
              </w:rPr>
              <w:t>数据物理/逻辑集中</w:t>
            </w:r>
          </w:p>
        </w:tc>
      </w:tr>
      <w:tr>
        <w:tc>
          <w:tcPr>
            <w:tcW w:type="dxa" w:w="1758"/>
          </w:tcPr>
          <w:p>
            <w:pPr>
              <w:jc w:val="center"/>
            </w:pPr>
            <w:r/>
            <w:r>
              <w:rPr>
                <w:rFonts w:ascii="Times New Roman" w:hAnsi="Times New Roman" w:eastAsia="SimSun"/>
                <w:b w:val="0"/>
                <w:i w:val="0"/>
                <w:sz w:val="21"/>
              </w:rPr>
              <w:t>深化应用期</w:t>
            </w:r>
          </w:p>
        </w:tc>
        <w:tc>
          <w:tcPr>
            <w:tcW w:type="dxa" w:w="1758"/>
          </w:tcPr>
          <w:p>
            <w:pPr>
              <w:jc w:val="center"/>
            </w:pPr>
            <w:r/>
            <w:r>
              <w:rPr>
                <w:rFonts w:ascii="Times New Roman" w:hAnsi="Times New Roman" w:eastAsia="SimSun"/>
                <w:b w:val="0"/>
                <w:i w:val="0"/>
                <w:sz w:val="21"/>
              </w:rPr>
              <w:t>2021-至今</w:t>
            </w:r>
          </w:p>
        </w:tc>
        <w:tc>
          <w:tcPr>
            <w:tcW w:type="dxa" w:w="1758"/>
          </w:tcPr>
          <w:p>
            <w:pPr>
              <w:jc w:val="center"/>
            </w:pPr>
            <w:r/>
            <w:r>
              <w:rPr>
                <w:rFonts w:ascii="Times New Roman" w:hAnsi="Times New Roman" w:eastAsia="SimSun"/>
                <w:b w:val="0"/>
                <w:i w:val="0"/>
                <w:sz w:val="21"/>
              </w:rPr>
              <w:t>数据二十条、国家数据局成立</w:t>
            </w:r>
          </w:p>
        </w:tc>
        <w:tc>
          <w:tcPr>
            <w:tcW w:type="dxa" w:w="1758"/>
          </w:tcPr>
          <w:p>
            <w:pPr>
              <w:jc w:val="center"/>
            </w:pPr>
            <w:r/>
            <w:r>
              <w:rPr>
                <w:rFonts w:ascii="Times New Roman" w:hAnsi="Times New Roman" w:eastAsia="SimSun"/>
                <w:b w:val="0"/>
                <w:i w:val="0"/>
                <w:sz w:val="21"/>
              </w:rPr>
              <w:t>数据要素化，安全与价值并重</w:t>
            </w:r>
          </w:p>
        </w:tc>
        <w:tc>
          <w:tcPr>
            <w:tcW w:type="dxa" w:w="1758"/>
          </w:tcPr>
          <w:p>
            <w:pPr>
              <w:jc w:val="center"/>
            </w:pPr>
            <w:r/>
            <w:r>
              <w:rPr>
                <w:rFonts w:ascii="Times New Roman" w:hAnsi="Times New Roman" w:eastAsia="SimSun"/>
                <w:b w:val="0"/>
                <w:i w:val="0"/>
                <w:sz w:val="21"/>
              </w:rPr>
              <w:t>数据资产运营与安全合规</w:t>
            </w:r>
          </w:p>
        </w:tc>
      </w:tr>
    </w:tbl>
    <w:p>
      <w:pPr>
        <w:pStyle w:val="Heading2"/>
        <w:spacing w:line="440" w:lineRule="exact"/>
      </w:pPr>
      <w:r>
        <w:rPr>
          <w:rFonts w:ascii="Times New Roman" w:hAnsi="Times New Roman" w:eastAsia="SimHei"/>
          <w:b/>
          <w:i w:val="0"/>
          <w:color w:val="000000"/>
          <w:sz w:val="28"/>
        </w:rPr>
        <w:t>3.2 政务数据共享与开放的现实困境</w:t>
      </w:r>
    </w:p>
    <w:p>
      <w:pPr>
        <w:spacing w:line="440" w:lineRule="exact" w:before="0" w:after="0"/>
        <w:ind w:firstLine="480"/>
        <w:jc w:val="both"/>
      </w:pPr>
      <w:r>
        <w:rPr>
          <w:rFonts w:ascii="Times New Roman" w:hAnsi="Times New Roman" w:eastAsia="SimSun"/>
          <w:b w:val="0"/>
          <w:i w:val="0"/>
          <w:sz w:val="24"/>
        </w:rPr>
        <w:t>政务数据共享与开放是数字政府建设的核心环节，也是释放数据红利的前提。然而，在实际运行中，“数据孤岛”现象并未根本消除，反而演变为更为隐蔽的“数据壁垒”和“数据堰塞湖”。本节基于整体性治理理论，从共享意愿、数据质量及开放效能三个维度，深入剖析当前政务数据共享与开放面临的现实困境。</w:t>
      </w:r>
    </w:p>
    <w:p>
      <w:pPr>
        <w:spacing w:line="440" w:lineRule="exact" w:before="0" w:after="0"/>
        <w:ind w:firstLine="480"/>
        <w:jc w:val="both"/>
      </w:pPr>
      <w:r>
        <w:rPr>
          <w:rFonts w:ascii="Times New Roman" w:hAnsi="Times New Roman" w:eastAsia="SimSun"/>
          <w:b w:val="0"/>
          <w:i w:val="0"/>
          <w:sz w:val="24"/>
        </w:rPr>
        <w:t>首先，部门间的“数据本位主义”导致共享意愿低下。尽管行政命令要求数据共享，但在科层制体制下，数据往往被视为部门的私有资产和权力来源。拥有高价值数据的强势部门（如公安、税务、社保等）出于安全风险、责任规避或利益保护的考量，往往采取“选择性共享”策略[73]。例如，只共享过时、低价值或非核心字段的数据，而对实时性强、关联度高的关键数据持保留态度。这种博弈行为使得共享平台上的数据往往“由于不可用而闲置”，难以支撑跨部门的协同治理场景。</w:t>
      </w:r>
    </w:p>
    <w:p>
      <w:pPr>
        <w:spacing w:line="440" w:lineRule="exact" w:before="0" w:after="0"/>
        <w:ind w:firstLine="480"/>
        <w:jc w:val="both"/>
      </w:pPr>
      <w:r>
        <w:rPr>
          <w:rFonts w:ascii="Times New Roman" w:hAnsi="Times New Roman" w:eastAsia="SimSun"/>
          <w:b w:val="0"/>
          <w:i w:val="0"/>
          <w:sz w:val="24"/>
        </w:rPr>
        <w:t>其次，数据质量不高严重制约了共享应用的深度。调研发现，政务数据存在严重的“脏、乱、差”问题。一是数据标准不统一，不同部门对同一实体（如企业法人、自然人身份）的编码规则、字段定义存在差异，导致数据融合成本极高[74]。二是数据更新滞后，许多部门的数据采集仍依赖人工填报，更新频率低，无法反映实时状态。三是数据完整性缺失，历史数据断档、关键字段空缺现象普遍。低质量的数据在共享过程中会产生“垃圾进、垃圾出”效应，不仅降低了下游应用的可信度，还增加了数据纠错的人力成本。</w:t>
      </w:r>
    </w:p>
    <w:p>
      <w:pPr>
        <w:spacing w:line="440" w:lineRule="exact" w:before="0" w:after="0"/>
        <w:ind w:firstLine="480"/>
        <w:jc w:val="both"/>
      </w:pPr>
      <w:r>
        <w:rPr>
          <w:rFonts w:ascii="Times New Roman" w:hAnsi="Times New Roman" w:eastAsia="SimSun"/>
          <w:b w:val="0"/>
          <w:i w:val="0"/>
          <w:sz w:val="24"/>
        </w:rPr>
        <w:t>再次，政务数据开放呈现“形式大于内容”的特征。虽然各地政府建立了统一的数据开放平台，但开放的数据集多以静态、脱敏后的宏观统计数据为主，缺乏具有高挖掘价值的原始数据或机器可读格式数据[75]。此外，数据开放的供需匹配度低，政府往往“给什么看什么”，而非根据社会需求“需什么开什么”。企业和社会公众在获取数据后，常面临授权机制不明、使用限制过多等障碍，导致数据二次开发和创新应用受限。据评估，我国政务数据开放指数虽逐年上升，但数据利用率和社会经济效益转化率仍处于较低水平[76]。</w:t>
      </w:r>
    </w:p>
    <w:p>
      <w:pPr>
        <w:spacing w:line="440" w:lineRule="exact" w:before="0" w:after="0"/>
        <w:ind w:firstLine="480"/>
        <w:jc w:val="both"/>
      </w:pPr>
      <w:r>
        <w:rPr>
          <w:rFonts w:ascii="Times New Roman" w:hAnsi="Times New Roman" w:eastAsia="SimSun"/>
          <w:b w:val="0"/>
          <w:i w:val="0"/>
          <w:sz w:val="24"/>
        </w:rPr>
        <w:t>最后，共享与开放的技术支撑能力存在短板。现有的政务数据共享交换平台多采用传统的ETL（抽取、转换、加载）模式，难以应对海量、异构、实时数据的处理需求。在面对突发公共事件（如疫情防控）时，数据并发请求量大增，现有架构容易出现拥堵甚至崩溃。同时，缺乏统一的数据目录体系和元数据管理标准，使得用户难以快速检索和定位所需数据，进一步降低了共享开放的效率。</w:t>
      </w:r>
    </w:p>
    <w:p>
      <w:pPr>
        <w:pStyle w:val="Heading2"/>
        <w:spacing w:line="440" w:lineRule="exact"/>
      </w:pPr>
      <w:r>
        <w:rPr>
          <w:rFonts w:ascii="Times New Roman" w:hAnsi="Times New Roman" w:eastAsia="SimHei"/>
          <w:b/>
          <w:i w:val="0"/>
          <w:color w:val="000000"/>
          <w:sz w:val="28"/>
        </w:rPr>
        <w:t>3.3 数据安全与隐私保护的挑战</w:t>
      </w:r>
    </w:p>
    <w:p>
      <w:pPr>
        <w:spacing w:line="440" w:lineRule="exact" w:before="0" w:after="0"/>
        <w:ind w:firstLine="480"/>
        <w:jc w:val="both"/>
      </w:pPr>
      <w:r>
        <w:rPr>
          <w:rFonts w:ascii="Times New Roman" w:hAnsi="Times New Roman" w:eastAsia="SimSun"/>
          <w:b w:val="0"/>
          <w:i w:val="0"/>
          <w:sz w:val="24"/>
        </w:rPr>
        <w:t>随着政务数据汇聚规模的扩大和应用场景的拓展，数据安全与隐私保护已成为制约治理效能的关键瓶颈。在数字政府视域下，政务数据不仅包含大量的公民个人隐私信息，还涉及国家安全和社会稳定的敏感数据。如何在促进数据流动的同时确保数据安全，是当前面临的一大挑战。</w:t>
      </w:r>
    </w:p>
    <w:p>
      <w:pPr>
        <w:spacing w:line="440" w:lineRule="exact" w:before="0" w:after="0"/>
        <w:ind w:firstLine="480"/>
        <w:jc w:val="both"/>
      </w:pPr>
      <w:r>
        <w:rPr>
          <w:rFonts w:ascii="Times New Roman" w:hAnsi="Times New Roman" w:eastAsia="SimSun"/>
          <w:b w:val="0"/>
          <w:i w:val="0"/>
          <w:sz w:val="24"/>
        </w:rPr>
        <w:t>第一，数据集中存储带来的聚合风险日益凸显。为实现高效共享，各地普遍建立大数据中心进行数据物理集中。这种“鸡蛋放在一个篮子里”的模式虽然便于管理，但也构成了巨大的单点故障风险。一旦中心遭受黑客攻击或发生内部泄露，将导致海量敏感数据一次性外泄，后果不堪设想[77]。近年来，多地发生政务云平台数据泄露事件，暴露出基础设施安全防护能力的不足。此外，数据在传输、处理和使用过程中的全生命周期安全管理尚不完善，存在日志审计缺失、访问控制粗糙等技术漏洞。</w:t>
      </w:r>
    </w:p>
    <w:p>
      <w:pPr>
        <w:spacing w:line="440" w:lineRule="exact" w:before="0" w:after="0"/>
        <w:ind w:firstLine="480"/>
        <w:jc w:val="both"/>
      </w:pPr>
      <w:r>
        <w:rPr>
          <w:rFonts w:ascii="Times New Roman" w:hAnsi="Times New Roman" w:eastAsia="SimSun"/>
          <w:b w:val="0"/>
          <w:i w:val="0"/>
          <w:sz w:val="24"/>
        </w:rPr>
        <w:t>第二，隐私保护技术与业务应用的平衡难以把握。政务数据的应用往往需要对个人数据进行挖掘和分析，这与隐私保护存在天然张力。目前，常用的脱敏技术（如掩码、泛化）容易破坏数据的可用性，影响分析精度；而先进的隐私计算技术（如联邦学习、多方安全计算）虽然能实现“数据可用不可见”，但计算成本高、性能损耗大，难以在大规模政务场景中普及[78]。在实际操作中，基层工作人员往往缺乏专业的隐私保护意识，违规查询、导出公民个人信息的行为时有发生，导致“内鬼”泄露风险居高不下。</w:t>
      </w:r>
    </w:p>
    <w:p>
      <w:pPr>
        <w:spacing w:line="440" w:lineRule="exact" w:before="0" w:after="0"/>
        <w:ind w:firstLine="480"/>
        <w:jc w:val="both"/>
      </w:pPr>
      <w:r>
        <w:rPr>
          <w:rFonts w:ascii="Times New Roman" w:hAnsi="Times New Roman" w:eastAsia="SimSun"/>
          <w:b w:val="0"/>
          <w:i w:val="0"/>
          <w:sz w:val="24"/>
        </w:rPr>
        <w:t>第三，法律法规落地执行存在模糊地带。虽然《个人信息保护法》和《数据安全法》已颁布实施，但在政务场景下的具体实施细则尚不明确。例如，什么是政务数据中的“重要数据”和“核心数据”？不同层级政府的数据分类分级标准如何衔接？这些问题在实践中缺乏统一操作指南[79]。此外，当数据在不同部门间流转时，安全责任主体往往界定不清。数据提供方认为数据交出后责任转移，使用方则认为数据来源合法性由提供方保证，这种责任推诿导致安全监管出现真空。</w:t>
      </w:r>
    </w:p>
    <w:p>
      <w:pPr>
        <w:spacing w:line="440" w:lineRule="exact" w:before="0" w:after="0"/>
        <w:ind w:firstLine="480"/>
        <w:jc w:val="both"/>
      </w:pPr>
      <w:r>
        <w:rPr>
          <w:rFonts w:ascii="Times New Roman" w:hAnsi="Times New Roman" w:eastAsia="SimSun"/>
          <w:b w:val="0"/>
          <w:i w:val="0"/>
          <w:sz w:val="24"/>
        </w:rPr>
        <w:t>第四，跨境数据流动的安全审查机制亟待完善。随着全球化合作加深，部分政务数据涉及跨境传输（如跨国警务合作、国际贸易通关）。当前，我国对于政务数据出境的安全评估机制尚处于探索阶段，缺乏针对特定场景的风险评估模型和监管工具，面临数据主权流失的潜在风险[80]。</w:t>
      </w:r>
    </w:p>
    <w:p>
      <w:pPr>
        <w:pStyle w:val="Heading2"/>
        <w:spacing w:line="440" w:lineRule="exact"/>
      </w:pPr>
      <w:r>
        <w:rPr>
          <w:rFonts w:ascii="Times New Roman" w:hAnsi="Times New Roman" w:eastAsia="SimHei"/>
          <w:b/>
          <w:i w:val="0"/>
          <w:color w:val="000000"/>
          <w:sz w:val="28"/>
        </w:rPr>
        <w:t>3.4 治理体制机制的深层矛盾</w:t>
      </w:r>
    </w:p>
    <w:p>
      <w:pPr>
        <w:spacing w:line="440" w:lineRule="exact" w:before="0" w:after="0"/>
        <w:ind w:firstLine="480"/>
        <w:jc w:val="both"/>
      </w:pPr>
      <w:r>
        <w:rPr>
          <w:rFonts w:ascii="Times New Roman" w:hAnsi="Times New Roman" w:eastAsia="SimSun"/>
          <w:b w:val="0"/>
          <w:i w:val="0"/>
          <w:sz w:val="24"/>
        </w:rPr>
        <w:t>透过技术与表象，我国政务数据治理困境的根源在于体制机制的深层矛盾。基于“制度-技术-组织”分析框架，本节从组织架构、权责配置及考核激励三个方面，剖析制约治理效能的制度性障碍。</w:t>
      </w:r>
    </w:p>
    <w:p>
      <w:pPr>
        <w:spacing w:line="440" w:lineRule="exact" w:before="0" w:after="0"/>
        <w:ind w:firstLine="480"/>
        <w:jc w:val="both"/>
      </w:pPr>
      <w:r>
        <w:rPr>
          <w:rFonts w:ascii="Times New Roman" w:hAnsi="Times New Roman" w:eastAsia="SimSun"/>
          <w:b w:val="0"/>
          <w:i w:val="0"/>
          <w:sz w:val="24"/>
        </w:rPr>
        <w:t>首先，条块分割的行政体制与数据流动的整体性需求相冲突。我国政府组织结构呈现典型的“条块结合”特征，垂直管理部门（条）与地方政府（块）之间存在复杂的博弈关系。数据往往沿着行政隶属关系纵向流动，而横向跨部门、跨层级的流动则阻力重重[81]。例如，垂管系统的数据通常直接上传至国家部委，地方政府难以获取和使用，形成“垂直孤岛”。这种体制性分割导致数据资源被行政边界切割，难以形成全域视角的数据合力，违背了数字政府整体性治理的逻辑。</w:t>
      </w:r>
    </w:p>
    <w:p>
      <w:pPr>
        <w:spacing w:line="440" w:lineRule="exact" w:before="0" w:after="0"/>
        <w:ind w:firstLine="480"/>
        <w:jc w:val="both"/>
      </w:pPr>
      <w:r>
        <w:rPr>
          <w:rFonts w:ascii="Times New Roman" w:hAnsi="Times New Roman" w:eastAsia="SimSun"/>
          <w:b w:val="0"/>
          <w:i w:val="0"/>
          <w:sz w:val="24"/>
        </w:rPr>
        <w:t>其次，权责配置不对等导致“责大权小”的执行困境。在政务数据治理中，大数据管理局等协调机构往往被赋予统筹规划的职责，但缺乏对业务部门数据的实质性管控权和人事财政权。业务部门掌握数据资源，却不受大数据局直接领导，导致协调成本高企，指令执行打折[82]。此外，数据治理的责任主体模糊，缺乏明确的法律授权来界定数据所有权、使用权和管理权。当出现数据质量问题或安全事故时，往往陷入“多头管理、无人负责”的局面。</w:t>
      </w:r>
    </w:p>
    <w:p>
      <w:pPr>
        <w:spacing w:line="440" w:lineRule="exact" w:before="0" w:after="0"/>
        <w:ind w:firstLine="480"/>
        <w:jc w:val="both"/>
      </w:pPr>
      <w:r>
        <w:rPr>
          <w:rFonts w:ascii="Times New Roman" w:hAnsi="Times New Roman" w:eastAsia="SimSun"/>
          <w:b w:val="0"/>
          <w:i w:val="0"/>
          <w:sz w:val="24"/>
        </w:rPr>
        <w:t>再次，考核激励机制缺失导致内生动力不足。当前的政府绩效考核体系中，政务数据治理指标权重偏低，且多侧重于平台建设数量、数据归集量等显性指标，忽视了数据共享率、应用成效等隐性指标[83]。对于积极共享数据的部门，缺乏相应的财政补贴或绩效奖励；而对于阻碍共享的行为，缺乏有效的问责机制。这种“干多干少一个样、甚至干多错多”的氛围，使得各部门缺乏主动治理的内生动力，倾向于维持现状以规避风险。</w:t>
      </w:r>
    </w:p>
    <w:p>
      <w:pPr>
        <w:spacing w:line="440" w:lineRule="exact" w:before="0" w:after="0"/>
        <w:ind w:firstLine="480"/>
        <w:jc w:val="both"/>
      </w:pPr>
      <w:r>
        <w:rPr>
          <w:rFonts w:ascii="Times New Roman" w:hAnsi="Times New Roman" w:eastAsia="SimSun"/>
          <w:b w:val="0"/>
          <w:i w:val="0"/>
          <w:sz w:val="24"/>
        </w:rPr>
        <w:t>最后，专业人才支撑体系薄弱。政务数据治理是一项兼具技术性与行政性的复杂工作，需要既懂政府业务又懂数据技术的复合型人才。然而，现行公务员招录和培养体系难以吸引和留住此类高端人才。基层政府普遍面临技术人员短缺、外包依赖度过高的问题，导致数据治理能力长期停留在表面，难以深入业务核心进行深层次的数据挖掘与决策支持[84]。</w:t>
      </w:r>
    </w:p>
    <w:p>
      <w:pPr>
        <w:pStyle w:val="Heading2"/>
        <w:spacing w:line="440" w:lineRule="exact"/>
      </w:pPr>
      <w:r>
        <w:rPr>
          <w:rFonts w:ascii="Times New Roman" w:hAnsi="Times New Roman" w:eastAsia="SimHei"/>
          <w:b/>
          <w:i w:val="0"/>
          <w:color w:val="000000"/>
          <w:sz w:val="28"/>
        </w:rPr>
        <w:t>3.5 本章小结</w:t>
      </w:r>
    </w:p>
    <w:p>
      <w:pPr>
        <w:spacing w:line="440" w:lineRule="exact" w:before="0" w:after="0"/>
        <w:ind w:firstLine="480"/>
        <w:jc w:val="both"/>
      </w:pPr>
      <w:r>
        <w:rPr>
          <w:rFonts w:ascii="Times New Roman" w:hAnsi="Times New Roman" w:eastAsia="SimSun"/>
          <w:b w:val="0"/>
          <w:i w:val="0"/>
          <w:sz w:val="24"/>
        </w:rPr>
        <w:t>本章系统梳理了我国政务数据治理的政策演进与实践现状，并基于“制度-技术-组织”框架深入剖析了当前面临的现实困境。研究发现，我国政务数据治理虽已进入深化应用期，但仍受制于多重矛盾：在共享开放方面，部门利益壁垒、数据质量低下及供需错位导致“数据孤岛”顽疾难除；在安全保护方面，集中存储风险、隐私技术瓶颈及法律责任模糊构成严峻挑战；在体制机制方面，条块分割的行政结构、权责配置失衡及激励机制缺失是阻碍治理效能提升的根本原因。这些问题的存在，表明单纯的技术升级无法解决治理难题，必须从成因机理入手，寻求系统性的优化路径。下一章将结合利益博弈理论与制度经济学视角，进一步探究上述困境背后的深层成因。</w:t>
      </w:r>
    </w:p>
    <w:p>
      <w:pPr>
        <w:pStyle w:val="Heading1"/>
        <w:spacing w:line="480" w:lineRule="exact"/>
      </w:pPr>
      <w:r>
        <w:rPr>
          <w:rFonts w:ascii="Times New Roman" w:hAnsi="Times New Roman" w:eastAsia="SimHei"/>
          <w:b/>
          <w:i w:val="0"/>
          <w:color w:val="000000"/>
          <w:sz w:val="32"/>
        </w:rPr>
        <w:t>第4章 政务数据治理困境的成因机理分析</w:t>
      </w:r>
    </w:p>
    <w:p>
      <w:pPr>
        <w:pStyle w:val="Heading2"/>
        <w:spacing w:line="440" w:lineRule="exact"/>
      </w:pPr>
      <w:r>
        <w:rPr>
          <w:rFonts w:ascii="Times New Roman" w:hAnsi="Times New Roman" w:eastAsia="SimHei"/>
          <w:b/>
          <w:i w:val="0"/>
          <w:color w:val="000000"/>
          <w:sz w:val="28"/>
        </w:rPr>
        <w:t>4.1 基于利益博弈视角的组织壁垒分析</w:t>
      </w:r>
    </w:p>
    <w:p>
      <w:pPr>
        <w:spacing w:line="440" w:lineRule="exact" w:before="0" w:after="0"/>
        <w:ind w:firstLine="480"/>
        <w:jc w:val="both"/>
      </w:pPr>
      <w:r>
        <w:rPr>
          <w:rFonts w:ascii="Times New Roman" w:hAnsi="Times New Roman" w:eastAsia="SimSun"/>
          <w:b w:val="0"/>
          <w:i w:val="0"/>
          <w:sz w:val="24"/>
        </w:rPr>
        <w:t>在数字政府建设的宏观背景下，政务数据治理并非单纯的技术工程，而是一场深刻的行政体制变革。前文第三章已系统梳理了我国政务数据治理在共享开放、安全防护及体制机制方面面临的现实困境。本章将深入剖析这些表象背后的深层成因。基于整体性治理理论，本节从组织行为学与公共选择理论的交叉视角出发，运用利益博弈模型，解析条块分割行政体制下各部门间的数据壁垒形成机理，揭示“数据孤岛”现象的组织根源。</w:t>
      </w:r>
    </w:p>
    <w:p>
      <w:pPr>
        <w:spacing w:line="440" w:lineRule="exact" w:before="0" w:after="0"/>
        <w:ind w:firstLine="480"/>
        <w:jc w:val="both"/>
      </w:pPr>
      <w:r>
        <w:rPr>
          <w:rFonts w:ascii="Times New Roman" w:hAnsi="Times New Roman" w:eastAsia="SimSun"/>
          <w:b w:val="0"/>
          <w:i w:val="0"/>
          <w:sz w:val="24"/>
        </w:rPr>
        <w:t>首先，部门利益本位主义是阻碍数据共享的核心动因。在传统的科层制行政体系中，政府部门往往被视为理性的“经济人”，其行为逻辑遵循成本-收益最大化原则[85]。数据作为一种新型生产要素和战略性资源，具有显著的价值排他性和竞争性。拥有高价值数据的部门（如公安、税务、市场监管等）倾向于将数据视为部门私有资产，通过垄断数据获取权力寻租空间或维持部门权威。这种“数据私有化”倾向导致部门间形成隐性的利益壁垒。当数据共享带来的边际收益低于因失去数据控制权而产生的潜在损失时，部门便缺乏共享动力，甚至采取策略性隐瞒、选择性共享或提供低质量数据等行为进行消极抵抗[86]。</w:t>
      </w:r>
    </w:p>
    <w:p>
      <w:pPr>
        <w:spacing w:line="440" w:lineRule="exact" w:before="0" w:after="0"/>
        <w:ind w:firstLine="480"/>
        <w:jc w:val="both"/>
      </w:pPr>
      <w:r>
        <w:rPr>
          <w:rFonts w:ascii="Times New Roman" w:hAnsi="Times New Roman" w:eastAsia="SimSun"/>
          <w:b w:val="0"/>
          <w:i w:val="0"/>
          <w:sz w:val="24"/>
        </w:rPr>
        <w:t>其次，纵向层级与横向部门间的权责不对等加剧了博弈困境。在我国“条块结合”的行政体制中纵向垂直管理部门（条条）与地方政府横向职能部门（块块）之间存在复杂的权责交织关系。纵向部门强调业务系统的垂直贯通和数据标准的统一，而横向地方政府则关注属地治理效能和数据资源的本地化应用。这种结构性张力导致数据流向的阻滞：一方面，垂直系统数据向下回流机制不畅，基层政府难以获取上级部门的高价值数据以支撑精准治理；另一方面，横向部门间缺乏平等的协商机制，强势部门往往占据主导地位，弱势部门则在数据交换中处于被动地位[87]。这种权责配置的失衡使得跨部门数据协同陷入“囚徒困境”，即个体理性导致集体非理性，最终造成整体治理效能低下。</w:t>
      </w:r>
    </w:p>
    <w:p>
      <w:pPr>
        <w:spacing w:line="440" w:lineRule="exact" w:before="0" w:after="0"/>
        <w:ind w:firstLine="480"/>
        <w:jc w:val="both"/>
      </w:pPr>
      <w:r>
        <w:rPr>
          <w:rFonts w:ascii="Times New Roman" w:hAnsi="Times New Roman" w:eastAsia="SimSun"/>
          <w:b w:val="0"/>
          <w:i w:val="0"/>
          <w:sz w:val="24"/>
        </w:rPr>
        <w:t>进一步地，考核激励机制的缺失导致数据共享缺乏内生动力。当前政务数据治理多依赖自上下的行政命令推动，缺乏长效的市场化或制度化激励相容机制。在现有的政绩考核体系中，数据共享成效尚未成为硬性约束指标，而数据安全责任却被无限放大。这种“问责高压、激励低压”的制度环境使得官员产生强烈的风险规避心理。根据前景理论，决策者在面对损失时表现为风险厌恶[88]。由于数据泄露或滥用可能引发严重的政治和法律后果，而数据共享带来的治理红利具有滞后性和外部性难以直接转化为个人政绩，因此，“不共享、不犯错”成为许多部门的理性选择。这种激励扭曲严重抑制了基层创新和数据开放的积极性。</w:t>
      </w:r>
    </w:p>
    <w:p>
      <w:pPr>
        <w:spacing w:line="440" w:lineRule="exact" w:before="0" w:after="0"/>
        <w:ind w:firstLine="480"/>
        <w:jc w:val="both"/>
      </w:pPr>
      <w:r>
        <w:rPr>
          <w:rFonts w:ascii="Times New Roman" w:hAnsi="Times New Roman" w:eastAsia="SimSun"/>
          <w:b w:val="0"/>
          <w:i w:val="0"/>
          <w:sz w:val="24"/>
        </w:rPr>
        <w:t>此外，协调机制的碎片化增加了交易成本。尽管各地纷纷成立大数据管理局作为统筹协调机构，但其行政级别和职权范围往往不足以打破强势职能部门的利益藩篱。在实际操作中，数据共享需要经历繁琐的申请、审批、清洗和对接流程，涉及多个层级的沟通与协调。高昂的交易成本使得部门间的数据合作变得极其困难。特别是在缺乏统一数据目录和标准化接口的情况下，每一次数据交换都需要重新谈判技术标准和权责边界，进一步推高了协作门槛[89]。这种高摩擦力的交互模式使得偶发性的数据交换难以转化为常态化的协同机制。</w:t>
      </w:r>
    </w:p>
    <w:p>
      <w:pPr>
        <w:spacing w:line="440" w:lineRule="exact" w:before="0" w:after="0"/>
        <w:ind w:firstLine="480"/>
        <w:jc w:val="both"/>
      </w:pPr>
      <w:r>
        <w:rPr>
          <w:rFonts w:ascii="Times New Roman" w:hAnsi="Times New Roman" w:eastAsia="SimSun"/>
          <w:b w:val="0"/>
          <w:i w:val="0"/>
          <w:sz w:val="24"/>
        </w:rPr>
        <w:t>综上所述，政务数据治理中的组织壁垒本质上是行政体制转型期利益格局调整的反映。部门利益本位、权责配置失衡、激励机制缺位以及协调成本高昂共同构成了数据共享的阻力网络。要破解这一困境，必须超越技术层面，从重构政府内部利益关系、优化权责配置和完善激励相容机制入手，推动政府组织形态从碎片化向整体性转变。</w:t>
      </w:r>
    </w:p>
    <w:p>
      <w:pPr>
        <w:pStyle w:val="Heading2"/>
        <w:spacing w:line="440" w:lineRule="exact"/>
      </w:pPr>
      <w:r>
        <w:rPr>
          <w:rFonts w:ascii="Times New Roman" w:hAnsi="Times New Roman" w:eastAsia="SimHei"/>
          <w:b/>
          <w:i w:val="0"/>
          <w:color w:val="000000"/>
          <w:sz w:val="28"/>
        </w:rPr>
        <w:t>4.2 制度供给滞后与法律规范缺失</w:t>
      </w:r>
    </w:p>
    <w:p>
      <w:pPr>
        <w:spacing w:line="440" w:lineRule="exact" w:before="0" w:after="0"/>
        <w:ind w:firstLine="480"/>
        <w:jc w:val="both"/>
      </w:pPr>
      <w:r>
        <w:rPr>
          <w:rFonts w:ascii="Times New Roman" w:hAnsi="Times New Roman" w:eastAsia="SimSun"/>
          <w:b w:val="0"/>
          <w:i w:val="0"/>
          <w:sz w:val="24"/>
        </w:rPr>
        <w:t>制度是治理的基石。政务数据治理的有效运行依赖于完备的法律规范和清晰的制度安排。然而，相较于数字技术的迭代速度，我国政务数据领域的制度建设存在明显的滞后性，导致治理实践面临“无法可依”或“有法难依”的制度真空与模糊地带。本节从立法层级、权属界定及标准规范三个维度，深入剖析制度供给不足对政务数据治理困境形成的制约机理。</w:t>
      </w:r>
    </w:p>
    <w:p>
      <w:pPr>
        <w:spacing w:line="440" w:lineRule="exact" w:before="0" w:after="0"/>
        <w:ind w:firstLine="480"/>
        <w:jc w:val="both"/>
      </w:pPr>
      <w:r>
        <w:rPr>
          <w:rFonts w:ascii="Times New Roman" w:hAnsi="Times New Roman" w:eastAsia="SimSun"/>
          <w:b w:val="0"/>
          <w:i w:val="0"/>
          <w:sz w:val="24"/>
        </w:rPr>
        <w:t>首先，高位阶专门立法的缺失导致治理依据乏力。目前，我国虽已出台《网络安全法》《数据安全法》《个人信息保护法》等基础性法律，构建了数据安全的总体框架，但针对政务数据治理的专门性行政法规或法律尚付阙如[90]。现有规定多散见于各类政策文件、部门规章和地方性法规中呈现碎片化特征。例如，《政府信息公开条例》主要侧重事后公开，难以涵盖事前共享和事中监管全流程；各部委发布的数据管理办法往往仅适用于本系统内部缺乏普遍约束力。这种立法层级的低位阶和规范效力的局限性，使得政务数据治理在面对跨部门、跨层级的复杂冲突时，缺乏权威的法律裁决依据，导致执行力度大打折扣。</w:t>
      </w:r>
    </w:p>
    <w:p>
      <w:pPr>
        <w:spacing w:line="440" w:lineRule="exact" w:before="0" w:after="0"/>
        <w:ind w:firstLine="480"/>
        <w:jc w:val="both"/>
      </w:pPr>
      <w:r>
        <w:rPr>
          <w:rFonts w:ascii="Times New Roman" w:hAnsi="Times New Roman" w:eastAsia="SimSun"/>
          <w:b w:val="0"/>
          <w:i w:val="0"/>
          <w:sz w:val="24"/>
        </w:rPr>
        <w:t>其次，数据权属界定的模糊性引发确权难题。数据权属是数据流通与交易的前提。然而，现行法律体系尚未明确政务数据的所有权、使用权、经营权和收益权归属。政务数据是由公众产生、政府采集并管理的公共资源，其属性介于公共物品与私人物品之间[91]。在实践中，数据采集部门往往主张对数据拥有实际控制权，而数据使用部门则主张享有使用权，这种权属认知的偏差导致数据流转过程中的权利冲突。由于缺乏清晰的确权规则，数据提供方担心数据流出后失去控制，数据使用方则担心数据来源合法性存疑，双方均陷入谨慎观望状态，严重阻碍了数据要素的高效配置。</w:t>
      </w:r>
    </w:p>
    <w:p>
      <w:pPr>
        <w:spacing w:line="440" w:lineRule="exact" w:before="0" w:after="0"/>
        <w:ind w:firstLine="480"/>
        <w:jc w:val="both"/>
      </w:pPr>
      <w:r>
        <w:rPr>
          <w:rFonts w:ascii="Times New Roman" w:hAnsi="Times New Roman" w:eastAsia="SimSun"/>
          <w:b w:val="0"/>
          <w:i w:val="0"/>
          <w:sz w:val="24"/>
        </w:rPr>
        <w:t>进一步地，数据分类分级标准的不统一造成执行混乱。虽然国家层面提出了数据分类分级的指导原则，但具体到各行业、各领域，尚缺乏细化且互认的操作标准。不同部门对敏感数据、重要数据和一般数据的界定存在差异，导致在数据共享过程中出现“过度保护”或“保护不足”的两极分化现象[92]。例如，某些部门将本可公开的普通业务数据列为敏感数据拒绝共享，而另一些部门则对涉及个人隐私的数据缺乏必要的脱敏处理。这种标准执行的随意性不仅增加了数据合规审查的难度，也埋下了安全隐患，使得数据治理陷入“一管就死、一放就乱”的循环。</w:t>
      </w:r>
    </w:p>
    <w:p>
      <w:pPr>
        <w:spacing w:line="440" w:lineRule="exact" w:before="0" w:after="0"/>
        <w:ind w:firstLine="480"/>
        <w:jc w:val="both"/>
      </w:pPr>
      <w:r>
        <w:rPr>
          <w:rFonts w:ascii="Times New Roman" w:hAnsi="Times New Roman" w:eastAsia="SimSun"/>
          <w:b w:val="0"/>
          <w:i w:val="0"/>
          <w:sz w:val="24"/>
        </w:rPr>
        <w:t>最后，责任追究与救济机制的不完善削弱了制度威慑力。在政务数据违规采集、滥用或泄露事件中，往往存在责任主体不清、追责依据不足的问题。现行法律法规对行政机关及其工作人员在数据治理中的失职行为缺乏具体的量化处罚标准，多以行政处分为主，民事赔偿和刑事责任追究机制尚不健全[93]。这种低成本违规现状使得部分部门在数据管理中存在侥幸心理，忽视了数据全生命周期的合规性要求。同时，公民在面对政务数据侵权行为时，往往面临举证难、诉讼难困境，缺乏有效的权利救济渠道，进一步削弱了社会监督对政府数据治理行为的约束作用。</w:t>
      </w:r>
    </w:p>
    <w:p>
      <w:pPr>
        <w:spacing w:line="440" w:lineRule="exact" w:before="0" w:after="0"/>
        <w:ind w:firstLine="480"/>
        <w:jc w:val="both"/>
      </w:pPr>
      <w:r>
        <w:rPr>
          <w:rFonts w:ascii="Times New Roman" w:hAnsi="Times New Roman" w:eastAsia="SimSun"/>
          <w:b w:val="0"/>
          <w:i w:val="0"/>
          <w:sz w:val="24"/>
        </w:rPr>
        <w:t>综上，制度供给的滞后与法律规范的缺失，使得政务数据治理缺乏稳定的预期和刚性的约束。加快制定政务数据专门立法，明确数据权属关系，统一分类分级标准，并完善责任追究机制，是破除治理困境、实现法治化治理的必由之路。</w:t>
      </w:r>
    </w:p>
    <w:p>
      <w:pPr>
        <w:pStyle w:val="Heading2"/>
        <w:spacing w:line="440" w:lineRule="exact"/>
      </w:pPr>
      <w:r>
        <w:rPr>
          <w:rFonts w:ascii="Times New Roman" w:hAnsi="Times New Roman" w:eastAsia="SimHei"/>
          <w:b/>
          <w:i w:val="0"/>
          <w:color w:val="000000"/>
          <w:sz w:val="28"/>
        </w:rPr>
        <w:t>4.3 技术标准不统一与基础设施短板</w:t>
      </w:r>
    </w:p>
    <w:p>
      <w:pPr>
        <w:spacing w:line="440" w:lineRule="exact" w:before="0" w:after="0"/>
        <w:ind w:firstLine="480"/>
        <w:jc w:val="both"/>
      </w:pPr>
      <w:r>
        <w:rPr>
          <w:rFonts w:ascii="Times New Roman" w:hAnsi="Times New Roman" w:eastAsia="SimSun"/>
          <w:b w:val="0"/>
          <w:i w:val="0"/>
          <w:sz w:val="24"/>
        </w:rPr>
        <w:t>技术是政务数据治理的物质载体和实现手段。尽管近年来我国数字基础设施建设取得了长足进步，但在政务数据治理的具体实践中，技术标准不统一、基础设施兼容性差以及数据质量参差不齐等技术性障碍，依然是制约数据高效流通与价值释放的关键瓶颈。本节从标准化体系、系统兼容性及数据质量三个层面，剖析技术因素对治理困境的形成机理。</w:t>
      </w:r>
    </w:p>
    <w:p>
      <w:pPr>
        <w:spacing w:line="440" w:lineRule="exact" w:before="0" w:after="0"/>
        <w:ind w:firstLine="480"/>
        <w:jc w:val="both"/>
      </w:pPr>
      <w:r>
        <w:rPr>
          <w:rFonts w:ascii="Times New Roman" w:hAnsi="Times New Roman" w:eastAsia="SimSun"/>
          <w:b w:val="0"/>
          <w:i w:val="0"/>
          <w:sz w:val="24"/>
        </w:rPr>
        <w:t>首先，数据标准体系的碎片化导致“语言不通”。政务数据来源于众多职能部门，各部门在建设信息化系统时，往往依据各自的业务需求和技术习惯制定数据标准，缺乏顶层设计的统一规范。这导致同一语义的数据在不同系统中存在编码格式、字段定义、计量单位等方面的巨大差异[94]。例如，对于“企业统一社会信用代码”，不同部门系统中的字段长度、校验规则甚至命名方式可能完全不同。这种“书同文、车同轨”基础的缺失，使得跨部门数据汇聚时需要耗费大量人力物力进行清洗、转换和对齐，极大地降低了数据整合效率，形成了事实上的“技术孤岛”。</w:t>
      </w:r>
    </w:p>
    <w:p>
      <w:pPr>
        <w:spacing w:line="440" w:lineRule="exact" w:before="0" w:after="0"/>
        <w:ind w:firstLine="480"/>
        <w:jc w:val="both"/>
      </w:pPr>
      <w:r>
        <w:rPr>
          <w:rFonts w:ascii="Times New Roman" w:hAnsi="Times New Roman" w:eastAsia="SimSun"/>
          <w:b w:val="0"/>
          <w:i w:val="0"/>
          <w:sz w:val="24"/>
        </w:rPr>
        <w:t>其次，存量系统的异构性与兼容性难题阻碍数据互通。我国政务信息化建设经历了长期的分散发展阶段，形成了庞大的存量信息系统集群。这些系统架构各异，有的基于老旧的大型机，有的采用早期的C/S架构，还有的基于最新的微服务云原生架构[95]。由于历史原因，许多早期系统并未预留标准数据接口，或者接口文档缺失、版本过时，导致新建立的大数据平台难以直接对接。为了实现数据抽取，往往需要采用数据库底层日志抓取等非侵入式手段，这不仅增加了系统负载和安全风险，也限制了数据实时共享的能力。这种技术代差造成的兼容性鸿沟，使得数据融合面临巨大的工程技术挑战。</w:t>
      </w:r>
    </w:p>
    <w:p>
      <w:pPr>
        <w:spacing w:line="440" w:lineRule="exact" w:before="0" w:after="0"/>
        <w:ind w:firstLine="480"/>
        <w:jc w:val="both"/>
      </w:pPr>
      <w:r>
        <w:rPr>
          <w:rFonts w:ascii="Times New Roman" w:hAnsi="Times New Roman" w:eastAsia="SimSun"/>
          <w:b w:val="0"/>
          <w:i w:val="0"/>
          <w:sz w:val="24"/>
        </w:rPr>
        <w:t>进一步地，数据质量问题削弱了治理效能。数据质量是数据治理的生命线。然而，当前政务数据普遍存在完整性、准确性、一致性和时效性不足的问题。一方面，由于前端采集设备老化、录入人员操作不规范等原因，源头数据存在大量缺失、错误或重复记录；另一方面，由于缺乏全流程的质量监控机制，错误数据在流转过程中未能被及时发现和修正，导致“垃圾进、垃圾出”现象频发[96]。低质量的数据不仅无法支撑精准的决策分析，反而可能误导政策制定，损害政府公信力。例如，在人口基础库建设中，若户籍信息与社保信息不一致，将直接影响民生服务的精准投放。</w:t>
      </w:r>
    </w:p>
    <w:p>
      <w:pPr>
        <w:spacing w:line="440" w:lineRule="exact" w:before="0" w:after="0"/>
        <w:ind w:firstLine="480"/>
        <w:jc w:val="both"/>
      </w:pPr>
      <w:r>
        <w:rPr>
          <w:rFonts w:ascii="Times New Roman" w:hAnsi="Times New Roman" w:eastAsia="SimSun"/>
          <w:b w:val="0"/>
          <w:i w:val="0"/>
          <w:sz w:val="24"/>
        </w:rPr>
        <w:t>此外，基础设施支撑能力的区域不平衡加剧了数字鸿沟。东部发达地区已建成较为完善的云计算中心和大数据平台，具备较强的数据处理和分析能力；而中西部欠发达地区受限于财政投入和技术人才短缺，基础设施相对薄弱，难以承载大规模数据汇聚和处理任务[97]。这种基础设施能力的落差，使得跨区域数据协同面临“木桶效应”，制约了全国一体化政务大数据体系的整体效能。同时，算力资源的分布不均也影响了人工智能等先进技术在地方的应用落地，限制了数据价值挖掘的深度和广度。</w:t>
      </w:r>
    </w:p>
    <w:p>
      <w:pPr>
        <w:spacing w:line="440" w:lineRule="exact" w:before="0" w:after="0"/>
        <w:ind w:firstLine="480"/>
        <w:jc w:val="both"/>
      </w:pPr>
      <w:r>
        <w:rPr>
          <w:rFonts w:ascii="Times New Roman" w:hAnsi="Times New Roman" w:eastAsia="SimSun"/>
          <w:b w:val="0"/>
          <w:i w:val="0"/>
          <w:sz w:val="24"/>
        </w:rPr>
        <w:t>综上，技术标准的不统一和基础设施的短板，构成了政务数据治理的硬性约束。推进数据标准化建设，加快存量系统改造升级，建立全流程数据质量控制体系，并均衡布局数字基础设施，是夯实政务数据治理技术底座的必然要求。</w:t>
      </w:r>
    </w:p>
    <w:p>
      <w:pPr>
        <w:spacing w:line="440" w:lineRule="exact" w:before="240" w:after="120"/>
        <w:jc w:val="center"/>
      </w:pPr>
      <w:r>
        <w:rPr>
          <w:rFonts w:ascii="Times New Roman" w:hAnsi="Times New Roman" w:eastAsia="SimSun"/>
          <w:b w:val="0"/>
          <w:i w:val="0"/>
          <w:sz w:val="24"/>
        </w:rPr>
        <w:t>表4.1 政务数据治理中的主要技术障碍及其表现</w:t>
      </w:r>
    </w:p>
    <w:tbl>
      <w:tblPr>
        <w:tblW w:type="auto" w:w="0"/>
        <w:tblLook w:firstColumn="1" w:firstRow="1" w:lastColumn="0" w:lastRow="0" w:noHBand="0" w:noVBand="1" w:val="04A0"/>
        <w:tblBorders>
          <w:top w:val="single" w:sz="12" w:color="auto" w:space="0"/>
          <w:bottom w:val="single" w:sz="12" w:color="auto" w:space="0"/>
          <w:left w:val="none" w:sz="0" w:color="auto" w:space="0"/>
          <w:right w:val="none" w:sz="0" w:color="auto" w:space="0"/>
          <w:insideH w:val="none" w:sz="0" w:color="auto" w:space="0"/>
          <w:insideV w:val="none" w:sz="0" w:color="auto" w:space="0"/>
        </w:tblBorders>
      </w:tblPr>
      <w:tblGrid>
        <w:gridCol w:w="2929"/>
        <w:gridCol w:w="2929"/>
        <w:gridCol w:w="2929"/>
      </w:tblGrid>
      <w:tr>
        <w:tc>
          <w:tcPr>
            <w:tcW w:type="dxa" w:w="2929"/>
            <w:tcBorders>
              <w:bottom w:val="single" w:sz="6" w:color="auto" w:space="0"/>
            </w:tcBorders>
          </w:tcPr>
          <w:p>
            <w:pPr>
              <w:jc w:val="center"/>
            </w:pPr>
            <w:r/>
            <w:r>
              <w:rPr>
                <w:rFonts w:ascii="Times New Roman" w:hAnsi="Times New Roman" w:eastAsia="SimSun"/>
                <w:b/>
                <w:i w:val="0"/>
                <w:sz w:val="21"/>
              </w:rPr>
              <w:t>技术障碍类型</w:t>
            </w:r>
          </w:p>
        </w:tc>
        <w:tc>
          <w:tcPr>
            <w:tcW w:type="dxa" w:w="2929"/>
            <w:tcBorders>
              <w:bottom w:val="single" w:sz="6" w:color="auto" w:space="0"/>
            </w:tcBorders>
          </w:tcPr>
          <w:p>
            <w:pPr>
              <w:jc w:val="center"/>
            </w:pPr>
            <w:r/>
            <w:r>
              <w:rPr>
                <w:rFonts w:ascii="Times New Roman" w:hAnsi="Times New Roman" w:eastAsia="SimSun"/>
                <w:b/>
                <w:i w:val="0"/>
                <w:sz w:val="21"/>
              </w:rPr>
              <w:t>具体表现</w:t>
            </w:r>
          </w:p>
        </w:tc>
        <w:tc>
          <w:tcPr>
            <w:tcW w:type="dxa" w:w="2929"/>
            <w:tcBorders>
              <w:bottom w:val="single" w:sz="6" w:color="auto" w:space="0"/>
            </w:tcBorders>
          </w:tcPr>
          <w:p>
            <w:pPr>
              <w:jc w:val="center"/>
            </w:pPr>
            <w:r/>
            <w:r>
              <w:rPr>
                <w:rFonts w:ascii="Times New Roman" w:hAnsi="Times New Roman" w:eastAsia="SimSun"/>
                <w:b/>
                <w:i w:val="0"/>
                <w:sz w:val="21"/>
              </w:rPr>
              <w:t>对治理效能的影响</w:t>
            </w:r>
          </w:p>
        </w:tc>
      </w:tr>
      <w:tr>
        <w:tc>
          <w:tcPr>
            <w:tcW w:type="dxa" w:w="2929"/>
          </w:tcPr>
          <w:p>
            <w:pPr>
              <w:jc w:val="center"/>
            </w:pPr>
            <w:r/>
            <w:r>
              <w:rPr>
                <w:rFonts w:ascii="Times New Roman" w:hAnsi="Times New Roman" w:eastAsia="SimSun"/>
                <w:b w:val="0"/>
                <w:i w:val="0"/>
                <w:sz w:val="21"/>
              </w:rPr>
              <w:t>数据标准不统一</w:t>
            </w:r>
          </w:p>
        </w:tc>
        <w:tc>
          <w:tcPr>
            <w:tcW w:type="dxa" w:w="2929"/>
          </w:tcPr>
          <w:p>
            <w:pPr>
              <w:jc w:val="center"/>
            </w:pPr>
            <w:r/>
            <w:r>
              <w:rPr>
                <w:rFonts w:ascii="Times New Roman" w:hAnsi="Times New Roman" w:eastAsia="SimSun"/>
                <w:b w:val="0"/>
                <w:i w:val="0"/>
                <w:sz w:val="21"/>
              </w:rPr>
              <w:t>编码格式各异、字段定义冲突、元数据缺失</w:t>
            </w:r>
          </w:p>
        </w:tc>
        <w:tc>
          <w:tcPr>
            <w:tcW w:type="dxa" w:w="2929"/>
          </w:tcPr>
          <w:p>
            <w:pPr>
              <w:jc w:val="center"/>
            </w:pPr>
            <w:r/>
            <w:r>
              <w:rPr>
                <w:rFonts w:ascii="Times New Roman" w:hAnsi="Times New Roman" w:eastAsia="SimSun"/>
                <w:b w:val="0"/>
                <w:i w:val="0"/>
                <w:sz w:val="21"/>
              </w:rPr>
              <w:t>增加数据清洗成本，降低整合效率，形成技术孤岛</w:t>
            </w:r>
          </w:p>
        </w:tc>
      </w:tr>
      <w:tr>
        <w:tc>
          <w:tcPr>
            <w:tcW w:type="dxa" w:w="2929"/>
          </w:tcPr>
          <w:p>
            <w:pPr>
              <w:jc w:val="center"/>
            </w:pPr>
            <w:r/>
            <w:r>
              <w:rPr>
                <w:rFonts w:ascii="Times New Roman" w:hAnsi="Times New Roman" w:eastAsia="SimSun"/>
                <w:b w:val="0"/>
                <w:i w:val="0"/>
                <w:sz w:val="21"/>
              </w:rPr>
              <w:t>系统兼容性差</w:t>
            </w:r>
          </w:p>
        </w:tc>
        <w:tc>
          <w:tcPr>
            <w:tcW w:type="dxa" w:w="2929"/>
          </w:tcPr>
          <w:p>
            <w:pPr>
              <w:jc w:val="center"/>
            </w:pPr>
            <w:r/>
            <w:r>
              <w:rPr>
                <w:rFonts w:ascii="Times New Roman" w:hAnsi="Times New Roman" w:eastAsia="SimSun"/>
                <w:b w:val="0"/>
                <w:i w:val="0"/>
                <w:sz w:val="21"/>
              </w:rPr>
              <w:t>老旧系统无接口、架构异构、协议不匹配</w:t>
            </w:r>
          </w:p>
        </w:tc>
        <w:tc>
          <w:tcPr>
            <w:tcW w:type="dxa" w:w="2929"/>
          </w:tcPr>
          <w:p>
            <w:pPr>
              <w:jc w:val="center"/>
            </w:pPr>
            <w:r/>
            <w:r>
              <w:rPr>
                <w:rFonts w:ascii="Times New Roman" w:hAnsi="Times New Roman" w:eastAsia="SimSun"/>
                <w:b w:val="0"/>
                <w:i w:val="0"/>
                <w:sz w:val="21"/>
              </w:rPr>
              <w:t>阻碍实时数据共享，增加系统集成难度和安全风险</w:t>
            </w:r>
          </w:p>
        </w:tc>
      </w:tr>
      <w:tr>
        <w:tc>
          <w:tcPr>
            <w:tcW w:type="dxa" w:w="2929"/>
          </w:tcPr>
          <w:p>
            <w:pPr>
              <w:jc w:val="center"/>
            </w:pPr>
            <w:r/>
            <w:r>
              <w:rPr>
                <w:rFonts w:ascii="Times New Roman" w:hAnsi="Times New Roman" w:eastAsia="SimSun"/>
                <w:b w:val="0"/>
                <w:i w:val="0"/>
                <w:sz w:val="21"/>
              </w:rPr>
              <w:t>数据质量低下</w:t>
            </w:r>
          </w:p>
        </w:tc>
        <w:tc>
          <w:tcPr>
            <w:tcW w:type="dxa" w:w="2929"/>
          </w:tcPr>
          <w:p>
            <w:pPr>
              <w:jc w:val="center"/>
            </w:pPr>
            <w:r/>
            <w:r>
              <w:rPr>
                <w:rFonts w:ascii="Times New Roman" w:hAnsi="Times New Roman" w:eastAsia="SimSun"/>
                <w:b w:val="0"/>
                <w:i w:val="0"/>
                <w:sz w:val="21"/>
              </w:rPr>
              <w:t>数据缺失、错误、重复、更新滞后</w:t>
            </w:r>
          </w:p>
        </w:tc>
        <w:tc>
          <w:tcPr>
            <w:tcW w:type="dxa" w:w="2929"/>
          </w:tcPr>
          <w:p>
            <w:pPr>
              <w:jc w:val="center"/>
            </w:pPr>
            <w:r/>
            <w:r>
              <w:rPr>
                <w:rFonts w:ascii="Times New Roman" w:hAnsi="Times New Roman" w:eastAsia="SimSun"/>
                <w:b w:val="0"/>
                <w:i w:val="0"/>
                <w:sz w:val="21"/>
              </w:rPr>
              <w:t>误导决策分析，损害政府公信力，降低服务精准度</w:t>
            </w:r>
          </w:p>
        </w:tc>
      </w:tr>
      <w:tr>
        <w:tc>
          <w:tcPr>
            <w:tcW w:type="dxa" w:w="2929"/>
          </w:tcPr>
          <w:p>
            <w:pPr>
              <w:jc w:val="center"/>
            </w:pPr>
            <w:r/>
            <w:r>
              <w:rPr>
                <w:rFonts w:ascii="Times New Roman" w:hAnsi="Times New Roman" w:eastAsia="SimSun"/>
                <w:b w:val="0"/>
                <w:i w:val="0"/>
                <w:sz w:val="21"/>
              </w:rPr>
              <w:t>基础设施不平衡</w:t>
            </w:r>
          </w:p>
        </w:tc>
        <w:tc>
          <w:tcPr>
            <w:tcW w:type="dxa" w:w="2929"/>
          </w:tcPr>
          <w:p>
            <w:pPr>
              <w:jc w:val="center"/>
            </w:pPr>
            <w:r/>
            <w:r>
              <w:rPr>
                <w:rFonts w:ascii="Times New Roman" w:hAnsi="Times New Roman" w:eastAsia="SimSun"/>
                <w:b w:val="0"/>
                <w:i w:val="0"/>
                <w:sz w:val="21"/>
              </w:rPr>
              <w:t>东西部算力差距大、云平台覆盖不全</w:t>
            </w:r>
          </w:p>
        </w:tc>
        <w:tc>
          <w:tcPr>
            <w:tcW w:type="dxa" w:w="2929"/>
          </w:tcPr>
          <w:p>
            <w:pPr>
              <w:jc w:val="center"/>
            </w:pPr>
            <w:r/>
            <w:r>
              <w:rPr>
                <w:rFonts w:ascii="Times New Roman" w:hAnsi="Times New Roman" w:eastAsia="SimSun"/>
                <w:b w:val="0"/>
                <w:i w:val="0"/>
                <w:sz w:val="21"/>
              </w:rPr>
              <w:t>制约跨区域协同，限制先进技术应用，加剧数字鸿沟</w:t>
            </w:r>
          </w:p>
        </w:tc>
      </w:tr>
    </w:tbl>
    <w:p>
      <w:pPr>
        <w:pStyle w:val="Heading2"/>
        <w:spacing w:line="440" w:lineRule="exact"/>
      </w:pPr>
      <w:r>
        <w:rPr>
          <w:rFonts w:ascii="Times New Roman" w:hAnsi="Times New Roman" w:eastAsia="SimHei"/>
          <w:b/>
          <w:i w:val="0"/>
          <w:color w:val="000000"/>
          <w:sz w:val="28"/>
        </w:rPr>
        <w:t>4.4 数据文化与人才支撑不足</w:t>
      </w:r>
    </w:p>
    <w:p>
      <w:pPr>
        <w:spacing w:line="440" w:lineRule="exact" w:before="0" w:after="0"/>
        <w:ind w:firstLine="480"/>
        <w:jc w:val="both"/>
      </w:pPr>
      <w:r>
        <w:rPr>
          <w:rFonts w:ascii="Times New Roman" w:hAnsi="Times New Roman" w:eastAsia="SimSun"/>
          <w:b w:val="0"/>
          <w:i w:val="0"/>
          <w:sz w:val="24"/>
        </w:rPr>
        <w:t>政务数据治理不仅是制度和技术的重构，更是观念和能力的重塑。软环境的缺失，特别是数据文化的匮乏和专业人才的短缺，构成了制约治理效能提升的内生性障碍。本节从思维观念、文化氛围及人才结构三个维度，探讨非技术因素对治理困境的深层影响。</w:t>
      </w:r>
    </w:p>
    <w:p>
      <w:pPr>
        <w:spacing w:line="440" w:lineRule="exact" w:before="0" w:after="0"/>
        <w:ind w:firstLine="480"/>
        <w:jc w:val="both"/>
      </w:pPr>
      <w:r>
        <w:rPr>
          <w:rFonts w:ascii="Times New Roman" w:hAnsi="Times New Roman" w:eastAsia="SimSun"/>
          <w:b w:val="0"/>
          <w:i w:val="0"/>
          <w:sz w:val="24"/>
        </w:rPr>
        <w:t>首先，传统行政思维惯性阻碍数据意识觉醒。长期以来的经验主义决策模式，使得部分领导干部习惯于依靠直觉和经验而非数据进行决策，“拍脑袋”现象依然存在。数据被视为行政管理的副产品而非核心资产，重建设轻运营、重硬件轻数据的观念根深蒂固[98]。这种认知偏差导致在资源配置上，往往优先保障硬件采购和网络铺设，而忽视数据治理、分析和应用软件的投入。缺乏数据驱动的决策文化，使得政务数据难以真正融入政府运行的核心流程，沦为沉睡的资源。</w:t>
      </w:r>
    </w:p>
    <w:p>
      <w:pPr>
        <w:spacing w:line="440" w:lineRule="exact" w:before="0" w:after="0"/>
        <w:ind w:firstLine="480"/>
        <w:jc w:val="both"/>
      </w:pPr>
      <w:r>
        <w:rPr>
          <w:rFonts w:ascii="Times New Roman" w:hAnsi="Times New Roman" w:eastAsia="SimSun"/>
          <w:b w:val="0"/>
          <w:i w:val="0"/>
          <w:sz w:val="24"/>
        </w:rPr>
        <w:t>其次，开放共享的文化氛围尚未形成。受传统保密文化和部门本位主义影响，政府内部普遍存在“数据不敢享、不愿享”的心理定势。一方面，对数据安全的过度担忧导致“宁可不用、不可出错”的保守心态；另一方面，缺乏数据贡献的价值认同，部门间尚未建立起互信互助的合作文化[99]。这种封闭的文化生态抑制了数据创新的活力，使得跨部门数据应用场景难以拓展，数据价值无法在流动中倍增。</w:t>
      </w:r>
    </w:p>
    <w:p>
      <w:pPr>
        <w:spacing w:line="440" w:lineRule="exact" w:before="0" w:after="0"/>
        <w:ind w:firstLine="480"/>
        <w:jc w:val="both"/>
      </w:pPr>
      <w:r>
        <w:rPr>
          <w:rFonts w:ascii="Times New Roman" w:hAnsi="Times New Roman" w:eastAsia="SimSun"/>
          <w:b w:val="0"/>
          <w:i w:val="0"/>
          <w:sz w:val="24"/>
        </w:rPr>
        <w:t>进一步地，复合型专业人才严重短缺。政务数据治理是一项跨学科的系统工程，需要既懂政府业务、又精通数据技术和法律规范的复合型人才。然而，当前公务员队伍中，具备大数据分析、算法建模及数据安全管理能力的专业人员占比极低[100]。现有技术人员多侧重于网络维护和系统开发，缺乏数据治理顶层设计能力和深度分析能力；而业务人员则缺乏数据素养，难以提出精准的数据需求。这种人才结构的断层，导致数据治理工作往往流于形式，难以触及业务痛点，也无法有效应对日益复杂的数据安全挑战。</w:t>
      </w:r>
    </w:p>
    <w:p>
      <w:pPr>
        <w:spacing w:line="440" w:lineRule="exact" w:before="0" w:after="0"/>
        <w:ind w:firstLine="480"/>
        <w:jc w:val="both"/>
      </w:pPr>
      <w:r>
        <w:rPr>
          <w:rFonts w:ascii="Times New Roman" w:hAnsi="Times New Roman" w:eastAsia="SimSun"/>
          <w:b w:val="0"/>
          <w:i w:val="0"/>
          <w:sz w:val="24"/>
        </w:rPr>
        <w:t>综上，数据文化的滞后和人才支撑的不足，构成了政务数据治理的软实力短板。培育数据驱动决策的文化氛围，打破封闭保守的思维定势，并加快引进和培养复合型数据治理人才，是实现政务数据治理可持续发展的关键支撑。</w:t>
      </w:r>
    </w:p>
    <w:p>
      <w:pPr>
        <w:pStyle w:val="Heading2"/>
        <w:spacing w:line="440" w:lineRule="exact"/>
      </w:pPr>
      <w:r>
        <w:rPr>
          <w:rFonts w:ascii="Times New Roman" w:hAnsi="Times New Roman" w:eastAsia="SimHei"/>
          <w:b/>
          <w:i w:val="0"/>
          <w:color w:val="000000"/>
          <w:sz w:val="28"/>
        </w:rPr>
        <w:t>4.5 本章小结</w:t>
      </w:r>
    </w:p>
    <w:p>
      <w:pPr>
        <w:spacing w:line="440" w:lineRule="exact" w:before="0" w:after="0"/>
        <w:ind w:firstLine="480"/>
        <w:jc w:val="both"/>
      </w:pPr>
      <w:r>
        <w:rPr>
          <w:rFonts w:ascii="Times New Roman" w:hAnsi="Times New Roman" w:eastAsia="SimSun"/>
          <w:b w:val="0"/>
          <w:i w:val="0"/>
          <w:sz w:val="24"/>
        </w:rPr>
        <w:t>本章基于“制度-技术-组织”三维分析框架，深入剖析了我国政务数据治理困境的成因机理。研究发现，组织层面的利益博弈与权责失衡是形成数据壁垒的根本原因，部门本位主义和激励缺失导致共享动力不足；制度层面的立法滞后与规范缺失是造成治理无序的关键因素，权属模糊和标准不一引发执行混乱；技术层面的标准碎片化与基础设施短板是制约数据流通的直接障碍，系统异构和数据质量低下增加了整合成本；此外，数据文化匮乏与专业人才短缺构成了治理能力提升的内生约束。这四方面因素相互交织、互为因果，共同构成了当前政务数据治理的复杂困境图谱，为后续章节提出针对性的优化路径提供了逻辑起点和理论依据。</w:t>
      </w:r>
    </w:p>
    <w:p>
      <w:pPr>
        <w:pStyle w:val="Heading1"/>
        <w:spacing w:line="480" w:lineRule="exact"/>
      </w:pPr>
      <w:r>
        <w:rPr>
          <w:rFonts w:ascii="Times New Roman" w:hAnsi="Times New Roman" w:eastAsia="SimHei"/>
          <w:b/>
          <w:i w:val="0"/>
          <w:color w:val="000000"/>
          <w:sz w:val="32"/>
        </w:rPr>
        <w:t>第5章 国内外政务数据治理的经验借鉴</w:t>
      </w:r>
    </w:p>
    <w:p>
      <w:pPr>
        <w:pStyle w:val="Heading2"/>
        <w:spacing w:line="440" w:lineRule="exact"/>
      </w:pPr>
      <w:r>
        <w:rPr>
          <w:rFonts w:ascii="Times New Roman" w:hAnsi="Times New Roman" w:eastAsia="SimHei"/>
          <w:b/>
          <w:i w:val="0"/>
          <w:color w:val="000000"/>
          <w:sz w:val="28"/>
        </w:rPr>
        <w:t>5.1 国外典型国家政务数据治理模式</w:t>
      </w:r>
    </w:p>
    <w:p>
      <w:pPr>
        <w:spacing w:line="440" w:lineRule="exact" w:before="0" w:after="0"/>
        <w:ind w:firstLine="480"/>
        <w:jc w:val="both"/>
      </w:pPr>
      <w:r>
        <w:rPr>
          <w:rFonts w:ascii="Times New Roman" w:hAnsi="Times New Roman" w:eastAsia="SimSun"/>
          <w:b w:val="0"/>
          <w:i w:val="0"/>
          <w:sz w:val="24"/>
        </w:rPr>
        <w:t>前文深入剖析了我国政务数据治理面临的现实困境及其深层成因，揭示了制度、技术与组织维度的多重制约。为寻求突破路径，本章将视野拓展至全球范围，系统梳理国外典型国家及国内先进地区的政务数据治理实践。通过比较分析，提炼可资借鉴的制度安排、技术架构与运行机制，为构建具有中国特色的数字政府数据治理体系提供经验支撑。</w:t>
      </w:r>
    </w:p>
    <w:p>
      <w:pPr>
        <w:spacing w:line="440" w:lineRule="exact" w:before="0" w:after="0"/>
        <w:ind w:firstLine="480"/>
        <w:jc w:val="both"/>
      </w:pPr>
      <w:r>
        <w:rPr>
          <w:rFonts w:ascii="Times New Roman" w:hAnsi="Times New Roman" w:eastAsia="SimSun"/>
          <w:b w:val="0"/>
          <w:i w:val="0"/>
          <w:sz w:val="24"/>
        </w:rPr>
        <w:t>美国作为全球电子政务发展的先行者，确立了以“开放政府”为核心的数据治理模式。2009年发布的《开放政府指令》标志着美国从传统的行政保密文化向数据开放文化的转型[101]。在制度层面，美国建立了联邦首席信息官（CIO）与首席数据官（CDO）双轨并行的领导体制。CIO负责整体信息技术战略，而CDO则专注于数据资产的管理、质量提升与价值挖掘，二者协同解决了技术管理与数据业务脱节的问题。在技术层面，Data.gov平台作为联邦政府数据的统一门户，实现了跨部门数据的集中发布与标准化检索。该模式强调“默认开放”原则，除非涉及国家安全或个人隐私，否则所有政府数据必须机器可读且免费开放。这种自上而下的强力推动机制，有效打破了部门间的数据壁垒，促进了社会创新与公众参与[102]。</w:t>
      </w:r>
    </w:p>
    <w:p>
      <w:pPr>
        <w:spacing w:line="440" w:lineRule="exact" w:before="0" w:after="0"/>
        <w:ind w:firstLine="480"/>
        <w:jc w:val="both"/>
      </w:pPr>
      <w:r>
        <w:rPr>
          <w:rFonts w:ascii="Times New Roman" w:hAnsi="Times New Roman" w:eastAsia="SimSun"/>
          <w:b w:val="0"/>
          <w:i w:val="0"/>
          <w:sz w:val="24"/>
        </w:rPr>
        <w:t>欧盟则呈现出以“权利保护”为基石的数据治理特征，形成了独特的“规则驱动型”模式。以《通用数据保护条例》（GDPR）为代表，欧盟构建了严密的数据隐私保护法律框架，将个人数据权利置于数据利用之上[103]。在政务数据治理中，欧盟不仅关注数据的开放共享，更强调数据主权与跨境流动的安全可控。例如，欧盟推出的“欧洲数据空间”倡议，旨在建立特定领域（如健康、交通、能源）的可信数据共享基础设施。在组织架构上，欧盟成员国普遍设立独立的数据保护机构（DPA），拥有对政府部门数据处理行为的审查权与否决权。这种模式虽然在一定程度上增加了数据流通合规成本，但极大地提升了公众对数字政府的信任度，为数据要素的市场化配置奠定了伦理与法律基础[104]。</w:t>
      </w:r>
    </w:p>
    <w:p>
      <w:pPr>
        <w:spacing w:line="440" w:lineRule="exact" w:before="0" w:after="0"/>
        <w:ind w:firstLine="480"/>
        <w:jc w:val="both"/>
      </w:pPr>
      <w:r>
        <w:rPr>
          <w:rFonts w:ascii="Times New Roman" w:hAnsi="Times New Roman" w:eastAsia="SimSun"/>
          <w:b w:val="0"/>
          <w:i w:val="0"/>
          <w:sz w:val="24"/>
        </w:rPr>
        <w:t>爱沙尼亚被誉为“数字共和国”，其政务数据治理以“互联互通”和“一次采集”为核心理念，代表了小国高效治理的技术典范。爱沙尼亚建立了名为X-Road的数据交换层，这是一个去中心化的安全数据交换平台，连接了公共部门与私营部门的各类信息系统[105]。X-Road不存储数据本身，而是提供加密的数据传输通道，确保数据仅在授权情况下在不同数据库间流动。在此基础上，爱沙尼亚推行“一旦收集，永不重复”原则，禁止政府部门向公民索取其他部门已掌握的信息。此外，区块链技术被广泛应用于日志记录，确保所有数据访问行为不可篡改、全程可追溯。这种以技术信任替代科层信任的模式，极大降低了行政协调成本，实现了政务服务的实时化与自动化[106]。</w:t>
      </w:r>
    </w:p>
    <w:p>
      <w:pPr>
        <w:spacing w:line="440" w:lineRule="exact" w:before="0" w:after="0"/>
        <w:ind w:firstLine="480"/>
        <w:jc w:val="both"/>
      </w:pPr>
      <w:r>
        <w:rPr>
          <w:rFonts w:ascii="Times New Roman" w:hAnsi="Times New Roman" w:eastAsia="SimSun"/>
          <w:b w:val="0"/>
          <w:i w:val="0"/>
          <w:sz w:val="24"/>
        </w:rPr>
        <w:t>综合来看，国外典型国家的政务数据治理模式各具特色：美国侧重开放创新与市场活力，欧盟侧重权利保护与规则约束，爱沙尼亚侧重技术赋能与效率提升。尽管路径不同，但三者均具备完善的顶层设计、明确的权责分工以及强有力的法律或技术保障机制。这些经验表明，成功的政务数据治理并非单一维度的技术升级，而是制度、法律与技术深度融合的系统工程。</w:t>
      </w:r>
    </w:p>
    <w:p>
      <w:pPr>
        <w:spacing w:line="440" w:lineRule="exact" w:before="240" w:after="120"/>
        <w:jc w:val="center"/>
      </w:pPr>
      <w:r>
        <w:rPr>
          <w:rFonts w:ascii="Times New Roman" w:hAnsi="Times New Roman" w:eastAsia="SimSun"/>
          <w:b w:val="0"/>
          <w:i w:val="0"/>
          <w:sz w:val="24"/>
        </w:rPr>
        <w:t>表5.1 国外典型国家政务数据治理模式比较</w:t>
      </w:r>
    </w:p>
    <w:tbl>
      <w:tblPr>
        <w:tblW w:type="auto" w:w="0"/>
        <w:tblLook w:firstColumn="1" w:firstRow="1" w:lastColumn="0" w:lastRow="0" w:noHBand="0" w:noVBand="1" w:val="04A0"/>
        <w:tblBorders>
          <w:top w:val="single" w:sz="12" w:color="auto" w:space="0"/>
          <w:bottom w:val="single" w:sz="12" w:color="auto" w:space="0"/>
          <w:left w:val="none" w:sz="0" w:color="auto" w:space="0"/>
          <w:right w:val="none" w:sz="0" w:color="auto" w:space="0"/>
          <w:insideH w:val="none" w:sz="0" w:color="auto" w:space="0"/>
          <w:insideV w:val="none" w:sz="0" w:color="auto" w:space="0"/>
        </w:tblBorders>
      </w:tblPr>
      <w:tblGrid>
        <w:gridCol w:w="2197"/>
        <w:gridCol w:w="2197"/>
        <w:gridCol w:w="2197"/>
        <w:gridCol w:w="2197"/>
      </w:tblGrid>
      <w:tr>
        <w:tc>
          <w:tcPr>
            <w:tcW w:type="dxa" w:w="2197"/>
            <w:tcBorders>
              <w:bottom w:val="single" w:sz="6" w:color="auto" w:space="0"/>
            </w:tcBorders>
          </w:tcPr>
          <w:p>
            <w:pPr>
              <w:jc w:val="center"/>
            </w:pPr>
            <w:r/>
            <w:r>
              <w:rPr>
                <w:rFonts w:ascii="Times New Roman" w:hAnsi="Times New Roman" w:eastAsia="SimSun"/>
                <w:b/>
                <w:i w:val="0"/>
                <w:sz w:val="21"/>
              </w:rPr>
              <w:t>维度</w:t>
            </w:r>
          </w:p>
        </w:tc>
        <w:tc>
          <w:tcPr>
            <w:tcW w:type="dxa" w:w="2197"/>
            <w:tcBorders>
              <w:bottom w:val="single" w:sz="6" w:color="auto" w:space="0"/>
            </w:tcBorders>
          </w:tcPr>
          <w:p>
            <w:pPr>
              <w:jc w:val="center"/>
            </w:pPr>
            <w:r/>
            <w:r>
              <w:rPr>
                <w:rFonts w:ascii="Times New Roman" w:hAnsi="Times New Roman" w:eastAsia="SimSun"/>
                <w:b/>
                <w:i w:val="0"/>
                <w:sz w:val="21"/>
              </w:rPr>
              <w:t>美国模式</w:t>
            </w:r>
          </w:p>
        </w:tc>
        <w:tc>
          <w:tcPr>
            <w:tcW w:type="dxa" w:w="2197"/>
            <w:tcBorders>
              <w:bottom w:val="single" w:sz="6" w:color="auto" w:space="0"/>
            </w:tcBorders>
          </w:tcPr>
          <w:p>
            <w:pPr>
              <w:jc w:val="center"/>
            </w:pPr>
            <w:r/>
            <w:r>
              <w:rPr>
                <w:rFonts w:ascii="Times New Roman" w:hAnsi="Times New Roman" w:eastAsia="SimSun"/>
                <w:b/>
                <w:i w:val="0"/>
                <w:sz w:val="21"/>
              </w:rPr>
              <w:t>欧盟模式</w:t>
            </w:r>
          </w:p>
        </w:tc>
        <w:tc>
          <w:tcPr>
            <w:tcW w:type="dxa" w:w="2197"/>
            <w:tcBorders>
              <w:bottom w:val="single" w:sz="6" w:color="auto" w:space="0"/>
            </w:tcBorders>
          </w:tcPr>
          <w:p>
            <w:pPr>
              <w:jc w:val="center"/>
            </w:pPr>
            <w:r/>
            <w:r>
              <w:rPr>
                <w:rFonts w:ascii="Times New Roman" w:hAnsi="Times New Roman" w:eastAsia="SimSun"/>
                <w:b/>
                <w:i w:val="0"/>
                <w:sz w:val="21"/>
              </w:rPr>
              <w:t>爱沙尼亚模式</w:t>
            </w:r>
          </w:p>
        </w:tc>
      </w:tr>
      <w:tr>
        <w:tc>
          <w:tcPr>
            <w:tcW w:type="dxa" w:w="2197"/>
          </w:tcPr>
          <w:p>
            <w:pPr>
              <w:jc w:val="center"/>
            </w:pPr>
            <w:r/>
            <w:r>
              <w:rPr>
                <w:rFonts w:ascii="Times New Roman" w:hAnsi="Times New Roman" w:eastAsia="SimSun"/>
                <w:b w:val="0"/>
                <w:i w:val="0"/>
                <w:sz w:val="21"/>
              </w:rPr>
              <w:t>核心理念</w:t>
            </w:r>
          </w:p>
        </w:tc>
        <w:tc>
          <w:tcPr>
            <w:tcW w:type="dxa" w:w="2197"/>
          </w:tcPr>
          <w:p>
            <w:pPr>
              <w:jc w:val="center"/>
            </w:pPr>
            <w:r/>
            <w:r>
              <w:rPr>
                <w:rFonts w:ascii="Times New Roman" w:hAnsi="Times New Roman" w:eastAsia="SimSun"/>
                <w:b w:val="0"/>
                <w:i w:val="0"/>
                <w:sz w:val="21"/>
              </w:rPr>
              <w:t>开放政府、默认开放</w:t>
            </w:r>
          </w:p>
        </w:tc>
        <w:tc>
          <w:tcPr>
            <w:tcW w:type="dxa" w:w="2197"/>
          </w:tcPr>
          <w:p>
            <w:pPr>
              <w:jc w:val="center"/>
            </w:pPr>
            <w:r/>
            <w:r>
              <w:rPr>
                <w:rFonts w:ascii="Times New Roman" w:hAnsi="Times New Roman" w:eastAsia="SimSun"/>
                <w:b w:val="0"/>
                <w:i w:val="0"/>
                <w:sz w:val="21"/>
              </w:rPr>
              <w:t>权利保护、规则驱动</w:t>
            </w:r>
          </w:p>
        </w:tc>
        <w:tc>
          <w:tcPr>
            <w:tcW w:type="dxa" w:w="2197"/>
          </w:tcPr>
          <w:p>
            <w:pPr>
              <w:jc w:val="center"/>
            </w:pPr>
            <w:r/>
            <w:r>
              <w:rPr>
                <w:rFonts w:ascii="Times New Roman" w:hAnsi="Times New Roman" w:eastAsia="SimSun"/>
                <w:b w:val="0"/>
                <w:i w:val="0"/>
                <w:sz w:val="21"/>
              </w:rPr>
              <w:t>互联互通、一次采集</w:t>
            </w:r>
          </w:p>
        </w:tc>
      </w:tr>
      <w:tr>
        <w:tc>
          <w:tcPr>
            <w:tcW w:type="dxa" w:w="2197"/>
          </w:tcPr>
          <w:p>
            <w:pPr>
              <w:jc w:val="center"/>
            </w:pPr>
            <w:r/>
            <w:r>
              <w:rPr>
                <w:rFonts w:ascii="Times New Roman" w:hAnsi="Times New Roman" w:eastAsia="SimSun"/>
                <w:b w:val="0"/>
                <w:i w:val="0"/>
                <w:sz w:val="21"/>
              </w:rPr>
              <w:t>组织架构</w:t>
            </w:r>
          </w:p>
        </w:tc>
        <w:tc>
          <w:tcPr>
            <w:tcW w:type="dxa" w:w="2197"/>
          </w:tcPr>
          <w:p>
            <w:pPr>
              <w:jc w:val="center"/>
            </w:pPr>
            <w:r/>
            <w:r>
              <w:rPr>
                <w:rFonts w:ascii="Times New Roman" w:hAnsi="Times New Roman" w:eastAsia="SimSun"/>
                <w:b w:val="0"/>
                <w:i w:val="0"/>
                <w:sz w:val="21"/>
              </w:rPr>
              <w:t>CIO与CDO双轨制</w:t>
            </w:r>
          </w:p>
        </w:tc>
        <w:tc>
          <w:tcPr>
            <w:tcW w:type="dxa" w:w="2197"/>
          </w:tcPr>
          <w:p>
            <w:pPr>
              <w:jc w:val="center"/>
            </w:pPr>
            <w:r/>
            <w:r>
              <w:rPr>
                <w:rFonts w:ascii="Times New Roman" w:hAnsi="Times New Roman" w:eastAsia="SimSun"/>
                <w:b w:val="0"/>
                <w:i w:val="0"/>
                <w:sz w:val="21"/>
              </w:rPr>
              <w:t>独立数据保护机构(DPA)</w:t>
            </w:r>
          </w:p>
        </w:tc>
        <w:tc>
          <w:tcPr>
            <w:tcW w:type="dxa" w:w="2197"/>
          </w:tcPr>
          <w:p>
            <w:pPr>
              <w:jc w:val="center"/>
            </w:pPr>
            <w:r/>
            <w:r>
              <w:rPr>
                <w:rFonts w:ascii="Times New Roman" w:hAnsi="Times New Roman" w:eastAsia="SimSun"/>
                <w:b w:val="0"/>
                <w:i w:val="0"/>
                <w:sz w:val="21"/>
              </w:rPr>
              <w:t>专职数字事务部</w:t>
            </w:r>
          </w:p>
        </w:tc>
      </w:tr>
      <w:tr>
        <w:tc>
          <w:tcPr>
            <w:tcW w:type="dxa" w:w="2197"/>
          </w:tcPr>
          <w:p>
            <w:pPr>
              <w:jc w:val="center"/>
            </w:pPr>
            <w:r/>
            <w:r>
              <w:rPr>
                <w:rFonts w:ascii="Times New Roman" w:hAnsi="Times New Roman" w:eastAsia="SimSun"/>
                <w:b w:val="0"/>
                <w:i w:val="0"/>
                <w:sz w:val="21"/>
              </w:rPr>
              <w:t>技术支撑</w:t>
            </w:r>
          </w:p>
        </w:tc>
        <w:tc>
          <w:tcPr>
            <w:tcW w:type="dxa" w:w="2197"/>
          </w:tcPr>
          <w:p>
            <w:pPr>
              <w:jc w:val="center"/>
            </w:pPr>
            <w:r/>
            <w:r>
              <w:rPr>
                <w:rFonts w:ascii="Times New Roman" w:hAnsi="Times New Roman" w:eastAsia="SimSun"/>
                <w:b w:val="0"/>
                <w:i w:val="0"/>
                <w:sz w:val="21"/>
              </w:rPr>
              <w:t>Data.gov统一门户</w:t>
            </w:r>
          </w:p>
        </w:tc>
        <w:tc>
          <w:tcPr>
            <w:tcW w:type="dxa" w:w="2197"/>
          </w:tcPr>
          <w:p>
            <w:pPr>
              <w:jc w:val="center"/>
            </w:pPr>
            <w:r/>
            <w:r>
              <w:rPr>
                <w:rFonts w:ascii="Times New Roman" w:hAnsi="Times New Roman" w:eastAsia="SimSun"/>
                <w:b w:val="0"/>
                <w:i w:val="0"/>
                <w:sz w:val="21"/>
              </w:rPr>
              <w:t>欧洲数据空间基础设施</w:t>
            </w:r>
          </w:p>
        </w:tc>
        <w:tc>
          <w:tcPr>
            <w:tcW w:type="dxa" w:w="2197"/>
          </w:tcPr>
          <w:p>
            <w:pPr>
              <w:jc w:val="center"/>
            </w:pPr>
            <w:r/>
            <w:r>
              <w:rPr>
                <w:rFonts w:ascii="Times New Roman" w:hAnsi="Times New Roman" w:eastAsia="SimSun"/>
                <w:b w:val="0"/>
                <w:i w:val="0"/>
                <w:sz w:val="21"/>
              </w:rPr>
              <w:t>X-Road数据交换层</w:t>
            </w:r>
          </w:p>
        </w:tc>
      </w:tr>
      <w:tr>
        <w:tc>
          <w:tcPr>
            <w:tcW w:type="dxa" w:w="2197"/>
          </w:tcPr>
          <w:p>
            <w:pPr>
              <w:jc w:val="center"/>
            </w:pPr>
            <w:r/>
            <w:r>
              <w:rPr>
                <w:rFonts w:ascii="Times New Roman" w:hAnsi="Times New Roman" w:eastAsia="SimSun"/>
                <w:b w:val="0"/>
                <w:i w:val="0"/>
                <w:sz w:val="21"/>
              </w:rPr>
              <w:t>法律基础</w:t>
            </w:r>
          </w:p>
        </w:tc>
        <w:tc>
          <w:tcPr>
            <w:tcW w:type="dxa" w:w="2197"/>
          </w:tcPr>
          <w:p>
            <w:pPr>
              <w:jc w:val="center"/>
            </w:pPr>
            <w:r/>
            <w:r>
              <w:rPr>
                <w:rFonts w:ascii="Times New Roman" w:hAnsi="Times New Roman" w:eastAsia="SimSun"/>
                <w:b w:val="0"/>
                <w:i w:val="0"/>
                <w:sz w:val="21"/>
              </w:rPr>
              <w:t>《开放政府数据法案》</w:t>
            </w:r>
          </w:p>
        </w:tc>
        <w:tc>
          <w:tcPr>
            <w:tcW w:type="dxa" w:w="2197"/>
          </w:tcPr>
          <w:p>
            <w:pPr>
              <w:jc w:val="center"/>
            </w:pPr>
            <w:r/>
            <w:r>
              <w:rPr>
                <w:rFonts w:ascii="Times New Roman" w:hAnsi="Times New Roman" w:eastAsia="SimSun"/>
                <w:b w:val="0"/>
                <w:i w:val="0"/>
                <w:sz w:val="21"/>
              </w:rPr>
              <w:t>《通用数据保护条例》(GDPR)</w:t>
            </w:r>
          </w:p>
        </w:tc>
        <w:tc>
          <w:tcPr>
            <w:tcW w:type="dxa" w:w="2197"/>
          </w:tcPr>
          <w:p>
            <w:pPr>
              <w:jc w:val="center"/>
            </w:pPr>
            <w:r/>
            <w:r>
              <w:rPr>
                <w:rFonts w:ascii="Times New Roman" w:hAnsi="Times New Roman" w:eastAsia="SimSun"/>
                <w:b w:val="0"/>
                <w:i w:val="0"/>
                <w:sz w:val="21"/>
              </w:rPr>
              <w:t>《个人信息保护法》</w:t>
            </w:r>
          </w:p>
        </w:tc>
      </w:tr>
      <w:tr>
        <w:tc>
          <w:tcPr>
            <w:tcW w:type="dxa" w:w="2197"/>
          </w:tcPr>
          <w:p>
            <w:pPr>
              <w:jc w:val="center"/>
            </w:pPr>
            <w:r/>
            <w:r>
              <w:rPr>
                <w:rFonts w:ascii="Times New Roman" w:hAnsi="Times New Roman" w:eastAsia="SimSun"/>
                <w:b w:val="0"/>
                <w:i w:val="0"/>
                <w:sz w:val="21"/>
              </w:rPr>
              <w:t>主要优势</w:t>
            </w:r>
          </w:p>
        </w:tc>
        <w:tc>
          <w:tcPr>
            <w:tcW w:type="dxa" w:w="2197"/>
          </w:tcPr>
          <w:p>
            <w:pPr>
              <w:jc w:val="center"/>
            </w:pPr>
            <w:r/>
            <w:r>
              <w:rPr>
                <w:rFonts w:ascii="Times New Roman" w:hAnsi="Times New Roman" w:eastAsia="SimSun"/>
                <w:b w:val="0"/>
                <w:i w:val="0"/>
                <w:sz w:val="21"/>
              </w:rPr>
              <w:t>激发社会创新、数据利用率高</w:t>
            </w:r>
          </w:p>
        </w:tc>
        <w:tc>
          <w:tcPr>
            <w:tcW w:type="dxa" w:w="2197"/>
          </w:tcPr>
          <w:p>
            <w:pPr>
              <w:jc w:val="center"/>
            </w:pPr>
            <w:r/>
            <w:r>
              <w:rPr>
                <w:rFonts w:ascii="Times New Roman" w:hAnsi="Times New Roman" w:eastAsia="SimSun"/>
                <w:b w:val="0"/>
                <w:i w:val="0"/>
                <w:sz w:val="21"/>
              </w:rPr>
              <w:t>公众信任度高、隐私保护严</w:t>
            </w:r>
          </w:p>
        </w:tc>
        <w:tc>
          <w:tcPr>
            <w:tcW w:type="dxa" w:w="2197"/>
          </w:tcPr>
          <w:p>
            <w:pPr>
              <w:jc w:val="center"/>
            </w:pPr>
            <w:r/>
            <w:r>
              <w:rPr>
                <w:rFonts w:ascii="Times New Roman" w:hAnsi="Times New Roman" w:eastAsia="SimSun"/>
                <w:b w:val="0"/>
                <w:i w:val="0"/>
                <w:sz w:val="21"/>
              </w:rPr>
              <w:t>行政效率高、协同成本低</w:t>
            </w:r>
          </w:p>
        </w:tc>
      </w:tr>
    </w:tbl>
    <w:p>
      <w:pPr>
        <w:pStyle w:val="Heading2"/>
        <w:spacing w:line="440" w:lineRule="exact"/>
      </w:pPr>
      <w:r>
        <w:rPr>
          <w:rFonts w:ascii="Times New Roman" w:hAnsi="Times New Roman" w:eastAsia="SimHei"/>
          <w:b/>
          <w:i w:val="0"/>
          <w:color w:val="000000"/>
          <w:sz w:val="28"/>
        </w:rPr>
        <w:t>5.2 国内先进地区的实践探索</w:t>
      </w:r>
    </w:p>
    <w:p>
      <w:pPr>
        <w:spacing w:line="440" w:lineRule="exact" w:before="0" w:after="0"/>
        <w:ind w:firstLine="480"/>
        <w:jc w:val="both"/>
      </w:pPr>
      <w:r>
        <w:rPr>
          <w:rFonts w:ascii="Times New Roman" w:hAnsi="Times New Roman" w:eastAsia="SimSun"/>
          <w:b w:val="0"/>
          <w:i w:val="0"/>
          <w:sz w:val="24"/>
        </w:rPr>
        <w:t>在国家总体战略指引下，我国部分省市率先开展政务数据治理改革试点，形成了具有地域特色的实践模式。其中，浙江的“最多跑一次”改革、广东的“数字政府”建设以及贵州的大数据综合试验区探索，最具代表性与借鉴意义。这些地区通过体制机制创新与技术平台重构，有效缓解了数据孤岛问题，为全国层面的治理优化提供了鲜活样本。</w:t>
      </w:r>
    </w:p>
    <w:p>
      <w:pPr>
        <w:spacing w:line="440" w:lineRule="exact" w:before="0" w:after="0"/>
        <w:ind w:firstLine="480"/>
        <w:jc w:val="both"/>
      </w:pPr>
      <w:r>
        <w:rPr>
          <w:rFonts w:ascii="Times New Roman" w:hAnsi="Times New Roman" w:eastAsia="SimSun"/>
          <w:b w:val="0"/>
          <w:i w:val="0"/>
          <w:sz w:val="24"/>
        </w:rPr>
        <w:t>浙江省以“最多跑一次”改革为契机，构建了以数据共享为核心的整体政府治理模式。针对传统行政审批中材料重复提交、流程繁琐痛点，浙江成立省委直属的大数据发展管理局，统筹全省政务数据资源管理[107]。在技术层面，打造“IRS（一体化资源系统）”平台，实现全省政务目录的统一编制、数据的归集共享与应用的高效对接。浙江创新性地提出“数据跑路”代替“群众跑腿”，通过建立省级数据共享交换平台，打通公安、社保、民政等关键部门的数据接口。例如，在新生儿出生事项办理中，通过后台数据自动比对与流转，将原本需要跑多个部门的7个事项整合为“一件事”联办。这种以用户需求为导向的数据治理模式，倒逼政府部门打破利益壁垒，实现了从“部门视角”向“用户视角”的根本转变[108]。</w:t>
      </w:r>
    </w:p>
    <w:p>
      <w:pPr>
        <w:spacing w:line="440" w:lineRule="exact" w:before="0" w:after="0"/>
        <w:ind w:firstLine="480"/>
        <w:jc w:val="both"/>
      </w:pPr>
      <w:r>
        <w:rPr>
          <w:rFonts w:ascii="Times New Roman" w:hAnsi="Times New Roman" w:eastAsia="SimSun"/>
          <w:b w:val="0"/>
          <w:i w:val="0"/>
          <w:sz w:val="24"/>
        </w:rPr>
        <w:t>广东省则采取“政企合作、管运分离”的建设运营模式，开创了政务数据治理的市场化协作路径。面对政府技术力量不足、迭代缓慢的现实约束，广东引入腾讯、华为等头部科技企业，组建数字广东网络建设有限公司，负责“粤省事”“粤商通”等平台的建设与运营[109]。在这种模式下，政府保留数据所有权、管理权与监督权，企业承担技术开发、平台运维与场景创新职责。通过建立严格的数据安全审计与合规审查机制，既利用了企业的技术优势与敏捷开发能力，又确保了公共数据的安全可控。此外，广东率先探索政务数据授权运营机制，在金融、医疗等领域开展数据要素市场化配置改革试点，释放数据经济价值。这种模式有效解决了政府投入有限与技术更新滞后之间的矛盾，提升了政务服务的用户体验与响应速度[110]。</w:t>
      </w:r>
    </w:p>
    <w:p>
      <w:pPr>
        <w:spacing w:line="440" w:lineRule="exact" w:before="0" w:after="0"/>
        <w:ind w:firstLine="480"/>
        <w:jc w:val="both"/>
      </w:pPr>
      <w:r>
        <w:rPr>
          <w:rFonts w:ascii="Times New Roman" w:hAnsi="Times New Roman" w:eastAsia="SimSun"/>
          <w:b w:val="0"/>
          <w:i w:val="0"/>
          <w:sz w:val="24"/>
        </w:rPr>
        <w:t>贵州省依托国家大数据综合试验区政策优势，聚焦数据基础设施与立法先行，打造了“云上贵州”品牌。贵州建成全国首个省级政府数据集聚共享平台，强制要求省直部门非涉密系统全部迁移上云，从物理层面消除了数据隔离[111]。在制度创新方面，贵州出台全国首部地方性大数据法规《贵州省大数据发展应用条例》，明确政务数据共享开放的法律义务与责任边界。通过立法确立“共享为原则、不共享为例外”的规则，为数据治理提供了坚实的法治保障。此外，贵州积极探索数据确权与交易机制，成立贵阳大数据交易所，尝试构建数据要素流通的市场规则。这种以立法引领、基础设施先行的模式，为内陆地区利用后发优势实现弯道超车提供了可行路径。</w:t>
      </w:r>
    </w:p>
    <w:p>
      <w:pPr>
        <w:spacing w:line="440" w:lineRule="exact" w:before="0" w:after="0"/>
        <w:ind w:firstLine="480"/>
        <w:jc w:val="both"/>
      </w:pPr>
      <w:r>
        <w:rPr>
          <w:rFonts w:ascii="Times New Roman" w:hAnsi="Times New Roman" w:eastAsia="SimSun"/>
          <w:b w:val="0"/>
          <w:i w:val="0"/>
          <w:sz w:val="24"/>
        </w:rPr>
        <w:t>综上所述，国内先进地区的实践表明，政务数据治理的成功关键在于强有力的组织领导、灵活的建设运营模式以及健全的法规标准体系。浙江的统筹集约、广东的政企协同、贵州的立法先行，分别从组织重构、机制创新与法治保障三个维度提供了有益启示。</w:t>
      </w:r>
    </w:p>
    <w:p>
      <w:pPr>
        <w:pStyle w:val="Heading2"/>
        <w:spacing w:line="440" w:lineRule="exact"/>
      </w:pPr>
      <w:r>
        <w:rPr>
          <w:rFonts w:ascii="Times New Roman" w:hAnsi="Times New Roman" w:eastAsia="SimHei"/>
          <w:b/>
          <w:i w:val="0"/>
          <w:color w:val="000000"/>
          <w:sz w:val="28"/>
        </w:rPr>
        <w:t>5.3 国内外经验的比较与启示</w:t>
      </w:r>
    </w:p>
    <w:p>
      <w:pPr>
        <w:spacing w:line="440" w:lineRule="exact" w:before="0" w:after="0"/>
        <w:ind w:firstLine="480"/>
        <w:jc w:val="both"/>
      </w:pPr>
      <w:r>
        <w:rPr>
          <w:rFonts w:ascii="Times New Roman" w:hAnsi="Times New Roman" w:eastAsia="SimSun"/>
          <w:b w:val="0"/>
          <w:i w:val="0"/>
          <w:sz w:val="24"/>
        </w:rPr>
        <w:t>通过对国外典型国家与国内先进地区政务数据治理模式的横向比较，可以发现尽管各国各地的政治体制、发展阶段与技术基础存在差异，但在治理逻辑与实践路径上呈现出若干共性规律。这些共性经验对于破解我国当前政务数据治理困境具有重要的启示意义。</w:t>
      </w:r>
    </w:p>
    <w:p>
      <w:pPr>
        <w:spacing w:line="440" w:lineRule="exact" w:before="0" w:after="0"/>
        <w:ind w:firstLine="480"/>
        <w:jc w:val="both"/>
      </w:pPr>
      <w:r>
        <w:rPr>
          <w:rFonts w:ascii="Times New Roman" w:hAnsi="Times New Roman" w:eastAsia="SimSun"/>
          <w:b w:val="0"/>
          <w:i w:val="0"/>
          <w:sz w:val="24"/>
        </w:rPr>
        <w:t>首先，强化顶层设计与高位统筹是破除部门壁垒的前提。无论是美国的联邦CIO/CDO制度，还是浙江的大数据局实体化运作，均表明政务数据治理必须超越部门利益，由具备权威性的专门机构进行统筹协调。分散式的管理模式难以解决跨部门数据共享中的权责不清与利益冲突问题。因此，建立统一的数据治理领导机构，赋予其数据资源调配权与考核监督权，是实现整体性治理的组织基础[112]。</w:t>
      </w:r>
    </w:p>
    <w:p>
      <w:pPr>
        <w:spacing w:line="440" w:lineRule="exact" w:before="0" w:after="0"/>
        <w:ind w:firstLine="480"/>
        <w:jc w:val="both"/>
      </w:pPr>
      <w:r>
        <w:rPr>
          <w:rFonts w:ascii="Times New Roman" w:hAnsi="Times New Roman" w:eastAsia="SimSun"/>
          <w:b w:val="0"/>
          <w:i w:val="0"/>
          <w:sz w:val="24"/>
        </w:rPr>
        <w:t>其次，法治化与标准化是保障数据规范流动的基石。欧盟的GDPR与贵州的大数据条例均证明，明确的法律规则能够有效降低数据共享的不确定性。同时，统一的数据标准（如元数据标准、接口规范、分类分级指南）是实现技术互通的前提。缺乏统一标准会导致数据清洗成本高昂、共享效率低下。因此，加快完善政务数据法律法规体系，制定全国统一的数据技术标准规范，是提升治理效能的关键举措[113]。</w:t>
      </w:r>
    </w:p>
    <w:p>
      <w:pPr>
        <w:spacing w:line="440" w:lineRule="exact" w:before="0" w:after="0"/>
        <w:ind w:firstLine="480"/>
        <w:jc w:val="both"/>
      </w:pPr>
      <w:r>
        <w:rPr>
          <w:rFonts w:ascii="Times New Roman" w:hAnsi="Times New Roman" w:eastAsia="SimSun"/>
          <w:b w:val="0"/>
          <w:i w:val="0"/>
          <w:sz w:val="24"/>
        </w:rPr>
        <w:t>再次，技术创新与机制创新需双轮驱动。爱沙尼亚的X-Road平台与广东的“管运分离”模式显示，单纯依靠行政命令或单纯依赖技术投入均难以持久。必须将先进的技术架构（如区块链、隐私计算）与灵活的合作机制（如政企合作、授权运营）相结合。技术为机制落地提供支撑，机制为技术应用提供场景与动力。特别是在数据安全与隐私保护方面，需引入“隐私设计”（Privacy by Design）理念，将安全合规嵌入技术全流程[114]。</w:t>
      </w:r>
    </w:p>
    <w:p>
      <w:pPr>
        <w:spacing w:line="440" w:lineRule="exact" w:before="0" w:after="0"/>
        <w:ind w:firstLine="480"/>
        <w:jc w:val="both"/>
      </w:pPr>
      <w:r>
        <w:rPr>
          <w:rFonts w:ascii="Times New Roman" w:hAnsi="Times New Roman" w:eastAsia="SimSun"/>
          <w:b w:val="0"/>
          <w:i w:val="0"/>
          <w:sz w:val="24"/>
        </w:rPr>
        <w:t>最后，以用户为中心的价值导向是治理改革的根本动力。美国“默认开放”与浙江“最多跑一次”均体现了从政府供给导向向用户需求导向的转变。政务数据治理的最终目的不是数据本身，而是提升公共服务质量与社会治理水平。因此，治理体系的设计应充分考量公众与企业的实际需求，通过场景化应用驱动数据共享开放，形成“应用促共享、共享促治理”的良性循环[115]。</w:t>
      </w:r>
    </w:p>
    <w:p>
      <w:pPr>
        <w:pStyle w:val="Heading2"/>
        <w:spacing w:line="440" w:lineRule="exact"/>
      </w:pPr>
      <w:r>
        <w:rPr>
          <w:rFonts w:ascii="Times New Roman" w:hAnsi="Times New Roman" w:eastAsia="SimHei"/>
          <w:b/>
          <w:i w:val="0"/>
          <w:color w:val="000000"/>
          <w:sz w:val="28"/>
        </w:rPr>
        <w:t>5.4 本章小结</w:t>
      </w:r>
    </w:p>
    <w:p>
      <w:pPr>
        <w:spacing w:line="440" w:lineRule="exact" w:before="0" w:after="0"/>
        <w:ind w:firstLine="480"/>
        <w:jc w:val="both"/>
      </w:pPr>
      <w:r>
        <w:rPr>
          <w:rFonts w:ascii="Times New Roman" w:hAnsi="Times New Roman" w:eastAsia="SimSun"/>
          <w:b w:val="0"/>
          <w:i w:val="0"/>
          <w:sz w:val="24"/>
        </w:rPr>
        <w:t>本章系统梳理了国内外政务数据治理的典型模式与实践经验。国外方面，分析了美国的开放驱动模式、欧盟的权利保护模式以及爱沙尼亚的技术互联模式；国内方面，总结了浙江的统筹集约、广东的政企协同及贵州的立法先行经验。通过比较分析，提炼出高位统筹、法治保障、技管结合及用户导向四大核心启示。这些经验表明，有效的政务数据治理需要制度、技术与组织的协同演进。本章所归纳的经验启示，将为第6章提出我国政务数据治理的优化路径提供直接的实证依据与理论参照。</w:t>
      </w:r>
    </w:p>
    <w:p>
      <w:pPr>
        <w:pStyle w:val="Heading1"/>
        <w:spacing w:line="480" w:lineRule="exact"/>
      </w:pPr>
      <w:r>
        <w:rPr>
          <w:rFonts w:ascii="Times New Roman" w:hAnsi="Times New Roman" w:eastAsia="SimHei"/>
          <w:b/>
          <w:i w:val="0"/>
          <w:color w:val="000000"/>
          <w:sz w:val="32"/>
        </w:rPr>
        <w:t>第6章 数字政府视域下政务数据治理的优化路径</w:t>
      </w:r>
    </w:p>
    <w:p>
      <w:pPr>
        <w:pStyle w:val="Heading2"/>
        <w:spacing w:line="440" w:lineRule="exact"/>
      </w:pPr>
      <w:r>
        <w:rPr>
          <w:rFonts w:ascii="Times New Roman" w:hAnsi="Times New Roman" w:eastAsia="SimHei"/>
          <w:b/>
          <w:i w:val="0"/>
          <w:color w:val="000000"/>
          <w:sz w:val="28"/>
        </w:rPr>
        <w:t>6.1 完善顶层设计与法律制度体系</w:t>
      </w:r>
    </w:p>
    <w:p>
      <w:pPr>
        <w:spacing w:line="440" w:lineRule="exact" w:before="0" w:after="0"/>
        <w:ind w:firstLine="480"/>
        <w:jc w:val="both"/>
      </w:pPr>
      <w:r>
        <w:rPr>
          <w:rFonts w:ascii="Times New Roman" w:hAnsi="Times New Roman" w:eastAsia="SimSun"/>
          <w:b w:val="0"/>
          <w:i w:val="0"/>
          <w:sz w:val="24"/>
        </w:rPr>
        <w:t>基于前文对政务数据治理困境及其成因的深入剖析，本章旨在提出系统性的优化路径。针对我国政务数据治理中存在的制度供给滞后、法律规范缺失等根本性问题，必须首先从顶层设计入手，构建完备的法律制度体系。顶层设计不仅是技术架构的规划，更是治理理念、组织架构与制度规则的统筹设计[116]。在数字政府建设背景下，顶层设计应确立“数据即资产”的核心地位，明确政务数据在国家治理体系中的基础性战略资源属性，从而为后续的数据共享、开放与应用提供法理依据。</w:t>
      </w:r>
    </w:p>
    <w:p>
      <w:pPr>
        <w:spacing w:line="440" w:lineRule="exact" w:before="0" w:after="0"/>
        <w:ind w:firstLine="480"/>
        <w:jc w:val="both"/>
      </w:pPr>
      <w:r>
        <w:rPr>
          <w:rFonts w:ascii="Times New Roman" w:hAnsi="Times New Roman" w:eastAsia="SimSun"/>
          <w:b w:val="0"/>
          <w:i w:val="0"/>
          <w:sz w:val="24"/>
        </w:rPr>
        <w:t>完善法律制度体系的首要任务是加快政务数据专门立法进程。当前，我国虽已出台《数据安全法》《个人信息保护法》等基础性法律，但针对政务数据全生命周期管理的专门性行政法规尚显不足。建议制定《政务数据管理条例》，明确政务数据的权属界定、采集标准、共享义务及法律责任[117]。特别是在数据权属问题上，需厘清公共数据的所有权、使用权与经营权边界，确立政府作为数据管理者的主体地位，同时保障公众对非敏感个人数据的知情权与控制权。通过立法形式固化数据共享的强制性义务，打破部门利益固化的法律屏障，解决“不愿共享”的制度根源。</w:t>
      </w:r>
    </w:p>
    <w:p>
      <w:pPr>
        <w:spacing w:line="440" w:lineRule="exact" w:before="0" w:after="0"/>
        <w:ind w:firstLine="480"/>
        <w:jc w:val="both"/>
      </w:pPr>
      <w:r>
        <w:rPr>
          <w:rFonts w:ascii="Times New Roman" w:hAnsi="Times New Roman" w:eastAsia="SimSun"/>
          <w:b w:val="0"/>
          <w:i w:val="0"/>
          <w:sz w:val="24"/>
        </w:rPr>
        <w:t>其次，建立分级分类的标准化管理制度是提升治理效能的关键。依据数据敏感程度、应用价值及安全风险等级，构建统一的政务数据分类分级标准体系。对于涉及国家安全、商业秘密及个人隐私的高敏感数据，实行严格管控与授权访问；对于具有高社会价值的公共数据，推行无条件或条件开放策略[118]。在此基础上，建立动态调整机制，定期评估数据分类分级的合理性，确保管理制度适应技术发展与社会需求的变化。此外，还需配套建立数据质量问责机制，将数据准确性、完整性纳入政府部门绩效考核体系，从制度层面倒逼数据质量的提升。</w:t>
      </w:r>
    </w:p>
    <w:p>
      <w:pPr>
        <w:spacing w:line="440" w:lineRule="exact" w:before="0" w:after="0"/>
        <w:ind w:firstLine="480"/>
        <w:jc w:val="both"/>
      </w:pPr>
      <w:r>
        <w:rPr>
          <w:rFonts w:ascii="Times New Roman" w:hAnsi="Times New Roman" w:eastAsia="SimSun"/>
          <w:b w:val="0"/>
          <w:i w:val="0"/>
          <w:sz w:val="24"/>
        </w:rPr>
        <w:t>最后，强化顶层设计的统筹协调功能，建立跨层级的政策协同机制。中央层面应设立国家级政务数据治理委员会，负责制定宏观战略规划与核心技术标准；地方层面则结合区域实际，制定实施细则与创新试点方案。通过纵向贯通与横向联动，形成上下一致、左右协同的政策执行网络，避免因地方法规冲突导致的新的“制度孤岛”[119]。综上所述，完善的顶层设计与法律制度体系是政务数据治理现代化的基石，为技术赋能与组织协同提供坚实的制度保障。</w:t>
      </w:r>
    </w:p>
    <w:p>
      <w:pPr>
        <w:pStyle w:val="Heading2"/>
        <w:spacing w:line="440" w:lineRule="exact"/>
      </w:pPr>
      <w:r>
        <w:rPr>
          <w:rFonts w:ascii="Times New Roman" w:hAnsi="Times New Roman" w:eastAsia="SimHei"/>
          <w:b/>
          <w:i w:val="0"/>
          <w:color w:val="000000"/>
          <w:sz w:val="28"/>
        </w:rPr>
        <w:t>6.2 构建跨部门协同的组织运行机制</w:t>
      </w:r>
    </w:p>
    <w:p>
      <w:pPr>
        <w:spacing w:line="440" w:lineRule="exact" w:before="0" w:after="0"/>
        <w:ind w:firstLine="480"/>
        <w:jc w:val="both"/>
      </w:pPr>
      <w:r>
        <w:rPr>
          <w:rFonts w:ascii="Times New Roman" w:hAnsi="Times New Roman" w:eastAsia="SimSun"/>
          <w:b w:val="0"/>
          <w:i w:val="0"/>
          <w:sz w:val="24"/>
        </w:rPr>
        <w:t>针对前文分析指出的“条块分割”行政体制导致的组织壁垒问题，构建高效跨部门协同的组织运行机制是破除“数据孤岛”的核心举措。整体性治理理论强调，通过整合碎片化的组织结构，实现政策目标的一致性与执行过程的协同性[120]。在政务数据治理语境下，这意味着要超越传统的部门边界，建立以数据流为核心的扁平化、网络化组织架构，促进各部门间的信息互通与业务协同。</w:t>
      </w:r>
    </w:p>
    <w:p>
      <w:pPr>
        <w:spacing w:line="440" w:lineRule="exact" w:before="0" w:after="0"/>
        <w:ind w:firstLine="480"/>
        <w:jc w:val="both"/>
      </w:pPr>
      <w:r>
        <w:rPr>
          <w:rFonts w:ascii="Times New Roman" w:hAnsi="Times New Roman" w:eastAsia="SimSun"/>
          <w:b w:val="0"/>
          <w:i w:val="0"/>
          <w:sz w:val="24"/>
        </w:rPr>
        <w:t>首先，实体化运作大数据管理机构，强化其统筹协调职能。目前各地成立的大数据局或数据中心多侧重于技术支撑，缺乏足够的行政权威来协调强势职能部门。建议提升大数据管理机构的行政层级，赋予其在数据资源调配、项目审批及绩效考核方面的实质性权力[121]。建立由主要领导牵头的政务数据治理领导小组，定期召开联席会议，协调解决跨部门数据共享中的重大争议与难点堵点。通过实体化机构与高层级协调机制的结合，形成“统一领导、归口管理、分工负责”的组织格局。</w:t>
      </w:r>
    </w:p>
    <w:p>
      <w:pPr>
        <w:spacing w:line="440" w:lineRule="exact" w:before="0" w:after="0"/>
        <w:ind w:firstLine="480"/>
        <w:jc w:val="both"/>
      </w:pPr>
      <w:r>
        <w:rPr>
          <w:rFonts w:ascii="Times New Roman" w:hAnsi="Times New Roman" w:eastAsia="SimSun"/>
          <w:b w:val="0"/>
          <w:i w:val="0"/>
          <w:sz w:val="24"/>
        </w:rPr>
        <w:t>其次，建立基于业务流程再造的协同工作机制。数据共享不畅往往源于业务流程的不匹配。因此，应以“一件事一次办”等便民服务场景为切入点，逆向梳理跨部门业务流程，识别关键数据节点与共享需求[122]。通过流程再造，消除冗余环节，明确各环节的数据输入输出标准，实现业务流与数据流的同步融合。建立“首席数据官”（CDO）制度，在各职能部门设立专职数据负责人，负责本部门数据资源的梳理、质量控制及共享对接，形成纵向到底、横向到边的数据管理网络。</w:t>
      </w:r>
    </w:p>
    <w:p>
      <w:pPr>
        <w:spacing w:line="440" w:lineRule="exact" w:before="0" w:after="0"/>
        <w:ind w:firstLine="480"/>
        <w:jc w:val="both"/>
      </w:pPr>
      <w:r>
        <w:rPr>
          <w:rFonts w:ascii="Times New Roman" w:hAnsi="Times New Roman" w:eastAsia="SimSun"/>
          <w:b w:val="0"/>
          <w:i w:val="0"/>
          <w:sz w:val="24"/>
        </w:rPr>
        <w:t>此外，创新激励相容的利益协调机制，激发部门共享动力。针对部门间因利益博弈导致的“不敢共享、不愿共享”问题，设计多元化的激励措施。一方面，建立数据共享积分制或贡献度评价体系，将数据共享数量、质量及应用成效纳入部门年度绩效考核，与财政预算分配挂钩[123]。另一方面，探索数据要素市场化配置机制，允许部门在合规前提下通过数据运营获得收益，反哺数据治理成本，形成良性循环。通过正向激励与反向约束相结合，重塑部门间的数据合作生态，实现从“被动共享”向“主动协同”的转变。</w:t>
      </w:r>
    </w:p>
    <w:p>
      <w:pPr>
        <w:pStyle w:val="Heading2"/>
        <w:spacing w:line="440" w:lineRule="exact"/>
      </w:pPr>
      <w:r>
        <w:rPr>
          <w:rFonts w:ascii="Times New Roman" w:hAnsi="Times New Roman" w:eastAsia="SimHei"/>
          <w:b/>
          <w:i w:val="0"/>
          <w:color w:val="000000"/>
          <w:sz w:val="28"/>
        </w:rPr>
        <w:t>6.3 强化技术赋能与标准规范建设</w:t>
      </w:r>
    </w:p>
    <w:p>
      <w:pPr>
        <w:spacing w:line="440" w:lineRule="exact" w:before="0" w:after="0"/>
        <w:ind w:firstLine="480"/>
        <w:jc w:val="both"/>
      </w:pPr>
      <w:r>
        <w:rPr>
          <w:rFonts w:ascii="Times New Roman" w:hAnsi="Times New Roman" w:eastAsia="SimSun"/>
          <w:b w:val="0"/>
          <w:i w:val="0"/>
          <w:sz w:val="24"/>
        </w:rPr>
        <w:t>技术标准不统一与基础设施短板是制约政务数据治理效能的技术性瓶颈。为此，必须强化前沿技术赋能，构建统一规范的技术支撑体系，实现数据治理的智能化、自动化与标准化。技术不仅是治理的工具，更是重塑治理流程、提升治理能力的驱动力[124]。</w:t>
      </w:r>
    </w:p>
    <w:p>
      <w:pPr>
        <w:spacing w:line="440" w:lineRule="exact" w:before="0" w:after="0"/>
        <w:ind w:firstLine="480"/>
        <w:jc w:val="both"/>
      </w:pPr>
      <w:r>
        <w:rPr>
          <w:rFonts w:ascii="Times New Roman" w:hAnsi="Times New Roman" w:eastAsia="SimSun"/>
          <w:b w:val="0"/>
          <w:i w:val="0"/>
          <w:sz w:val="24"/>
        </w:rPr>
        <w:t>首先，构建集约高效的政务云平台与数据中台。依托云计算技术，推进政务基础设施集约化建设，避免重复投资与信息烟囱。建立统一的数据中台，实现多源异构数据的汇聚、清洗、融合与服务化封装[125]。数据中台应具备强大的数据处理能力，支持结构化与非结构化数据的实时处理与分析，为上层应用提供标准化的数据接口（API）。通过“厚中台、薄应用”的架构设计，降低前端应用开发门槛，加速数据价值的释放。</w:t>
      </w:r>
    </w:p>
    <w:p>
      <w:pPr>
        <w:spacing w:line="440" w:lineRule="exact" w:before="0" w:after="0"/>
        <w:ind w:firstLine="480"/>
        <w:jc w:val="both"/>
      </w:pPr>
      <w:r>
        <w:rPr>
          <w:rFonts w:ascii="Times New Roman" w:hAnsi="Times New Roman" w:eastAsia="SimSun"/>
          <w:b w:val="0"/>
          <w:i w:val="0"/>
          <w:sz w:val="24"/>
        </w:rPr>
        <w:t>其次，推广应用区块链、人工智能等新兴技术，提升数据治理的可信度与智能化水平。利用区块链去中心化、不可篡改的特性，构建政务数据共享信任机制，记录数据流转全过程，实现数据来源可追溯、使用可审计[126]。引入人工智能算法，开展数据质量智能检测、异常数据自动修复及敏感信息智能识别，降低人工治理成本，提高治理效率。例如，利用自然语言处理技术自动提取非结构化文书中的关键实体，丰富数据维度。</w:t>
      </w:r>
    </w:p>
    <w:p>
      <w:pPr>
        <w:spacing w:line="440" w:lineRule="exact" w:before="0" w:after="0"/>
        <w:ind w:firstLine="480"/>
        <w:jc w:val="both"/>
      </w:pPr>
      <w:r>
        <w:rPr>
          <w:rFonts w:ascii="Times New Roman" w:hAnsi="Times New Roman" w:eastAsia="SimSun"/>
          <w:b w:val="0"/>
          <w:i w:val="0"/>
          <w:sz w:val="24"/>
        </w:rPr>
        <w:t>最后，建立健全统一的技术标准规范体系。标准是互联互通的前提。应制定涵盖数据采集、存储、交换、安全等环节的全套技术标准，重点统一数据元、代码集、接口协议等基础标准[127]。建立国家标准、行业标准与地方标准相衔接的标准体系，推动跨区域、跨层级的标准互认。定期开展标准符合性测试与评估，确保各系统严格执行统一标准，从技术底层消除“数据方言”，实现全国政务数据的无缝对接与高效流通。</w:t>
      </w:r>
    </w:p>
    <w:p>
      <w:pPr>
        <w:spacing w:before="240" w:after="120" w:line="240" w:lineRule="auto"/>
        <w:jc w:val="center"/>
      </w:pPr>
      <w:r>
        <w:drawing>
          <wp:inline xmlns:a="http://schemas.openxmlformats.org/drawingml/2006/main" xmlns:pic="http://schemas.openxmlformats.org/drawingml/2006/picture">
            <wp:extent cx="3657600" cy="3657600"/>
            <wp:docPr id="3" name="Picture 3"/>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3657600" cy="3657600"/>
                    </a:xfrm>
                    <a:prstGeom prst="rect"/>
                  </pic:spPr>
                </pic:pic>
              </a:graphicData>
            </a:graphic>
          </wp:inline>
        </w:drawing>
      </w:r>
    </w:p>
    <w:p>
      <w:pPr>
        <w:spacing w:line="440" w:lineRule="exact" w:before="120" w:after="240"/>
        <w:jc w:val="center"/>
      </w:pPr>
      <w:r>
        <w:rPr>
          <w:rFonts w:ascii="Times New Roman" w:hAnsi="Times New Roman" w:eastAsia="SimSun"/>
          <w:b w:val="0"/>
          <w:i w:val="0"/>
          <w:sz w:val="21"/>
        </w:rPr>
        <w:t>图6.1 政务数据治理技术架构示意图（黑白线条图风格，简洁框图，无装饰，无彩色）</w:t>
      </w:r>
    </w:p>
    <w:p>
      <w:pPr>
        <w:pStyle w:val="Heading2"/>
        <w:spacing w:line="440" w:lineRule="exact"/>
      </w:pPr>
      <w:r>
        <w:rPr>
          <w:rFonts w:ascii="Times New Roman" w:hAnsi="Times New Roman" w:eastAsia="SimHei"/>
          <w:b/>
          <w:i w:val="0"/>
          <w:color w:val="000000"/>
          <w:sz w:val="28"/>
        </w:rPr>
        <w:t>6.4 建立数据安全与隐私保护长效机制</w:t>
      </w:r>
    </w:p>
    <w:p>
      <w:pPr>
        <w:spacing w:line="440" w:lineRule="exact" w:before="0" w:after="0"/>
        <w:ind w:firstLine="480"/>
        <w:jc w:val="both"/>
      </w:pPr>
      <w:r>
        <w:rPr>
          <w:rFonts w:ascii="Times New Roman" w:hAnsi="Times New Roman" w:eastAsia="SimSun"/>
          <w:b w:val="0"/>
          <w:i w:val="0"/>
          <w:sz w:val="24"/>
        </w:rPr>
        <w:t>数据安全与隐私保护是政务数据治理的底线与红线。面对日益复杂的安全威胁，必须摒弃静态、被动的防御思维，建立动态、主动的全生命周期安全保护长效机制。这不仅关乎政府公信力，更直接影响数字政府建设的可持续性[128]。</w:t>
      </w:r>
    </w:p>
    <w:p>
      <w:pPr>
        <w:spacing w:line="440" w:lineRule="exact" w:before="0" w:after="0"/>
        <w:ind w:firstLine="480"/>
        <w:jc w:val="both"/>
      </w:pPr>
      <w:r>
        <w:rPr>
          <w:rFonts w:ascii="Times New Roman" w:hAnsi="Times New Roman" w:eastAsia="SimSun"/>
          <w:b w:val="0"/>
          <w:i w:val="0"/>
          <w:sz w:val="24"/>
        </w:rPr>
        <w:t>首先，构建纵深防御的技术安全体系。采用零信任安全架构，打破传统边界防护局限，实施基于身份与环境的动态访问控制。加强数据加密技术应用，实现数据传输、存储及使用过程中的全程加密，确保数据即使泄露也无法被非法解读[129]。部署数据库审计、流量监测及入侵检测系统，实时感知安全态势，及时发现并阻断异常行为。建立异地灾备中心，确保在极端情况下数据的可恢复性与业务连续性。</w:t>
      </w:r>
    </w:p>
    <w:p>
      <w:pPr>
        <w:spacing w:line="440" w:lineRule="exact" w:before="0" w:after="0"/>
        <w:ind w:firstLine="480"/>
        <w:jc w:val="both"/>
      </w:pPr>
      <w:r>
        <w:rPr>
          <w:rFonts w:ascii="Times New Roman" w:hAnsi="Times New Roman" w:eastAsia="SimSun"/>
          <w:b w:val="0"/>
          <w:i w:val="0"/>
          <w:sz w:val="24"/>
        </w:rPr>
        <w:t>其次，实施精细化的隐私保护策略。遵循“最小必要”原则，严格限制个人信息的采集范围与使用权限。推广隐私计算技术，如多方安全计算、联邦学习等，实现“数据可用不可见”，在保障数据价值挖掘的同时保护个人隐私[130]。建立个人信息去标识化与匿名化处理机制，在数据开放前进行严格的脱敏处理，防止重标识风险。同时，赋予公民对个人数据的查询、更正及删除权利，建立便捷的隐私投诉与救济渠道。</w:t>
      </w:r>
    </w:p>
    <w:p>
      <w:pPr>
        <w:spacing w:line="440" w:lineRule="exact" w:before="0" w:after="0"/>
        <w:ind w:firstLine="480"/>
        <w:jc w:val="both"/>
      </w:pPr>
      <w:r>
        <w:rPr>
          <w:rFonts w:ascii="Times New Roman" w:hAnsi="Times New Roman" w:eastAsia="SimSun"/>
          <w:b w:val="0"/>
          <w:i w:val="0"/>
          <w:sz w:val="24"/>
        </w:rPr>
        <w:t>最后，健全安全监管与应急响应机制。建立常态化的数据安全风险评估制度，定期开展渗透测试与安全演练，及时发现并修补安全漏洞。制定详细的数据安全事件应急预案，明确应急处置流程与责任主体，确保在发生安全事件时能够快速响应、有效处置[131]。加强安全监管队伍建设，提升专业人员的安全运维能力。通过技术防护、制度约束与人员管理的有机结合，构筑坚不可摧的政务数据安全防线。</w:t>
      </w:r>
    </w:p>
    <w:p>
      <w:pPr>
        <w:pStyle w:val="Heading2"/>
        <w:spacing w:line="440" w:lineRule="exact"/>
      </w:pPr>
      <w:r>
        <w:rPr>
          <w:rFonts w:ascii="Times New Roman" w:hAnsi="Times New Roman" w:eastAsia="SimHei"/>
          <w:b/>
          <w:i w:val="0"/>
          <w:color w:val="000000"/>
          <w:sz w:val="28"/>
        </w:rPr>
        <w:t>6.5 培育数据文化与提升数字素养</w:t>
      </w:r>
    </w:p>
    <w:p>
      <w:pPr>
        <w:spacing w:line="440" w:lineRule="exact" w:before="0" w:after="0"/>
        <w:ind w:firstLine="480"/>
        <w:jc w:val="both"/>
      </w:pPr>
      <w:r>
        <w:rPr>
          <w:rFonts w:ascii="Times New Roman" w:hAnsi="Times New Roman" w:eastAsia="SimSun"/>
          <w:b w:val="0"/>
          <w:i w:val="0"/>
          <w:sz w:val="24"/>
        </w:rPr>
        <w:t>数据文化与数字素养是政务数据治理的软实力支撑。前文分析表明，意识淡薄与能力不足是导致治理困境的重要因素。因此，必须从文化培育与能力提升两方面入手，营造崇尚数据、善用数据的社会氛围与组织环境[132]。</w:t>
      </w:r>
    </w:p>
    <w:p>
      <w:pPr>
        <w:spacing w:line="440" w:lineRule="exact" w:before="0" w:after="0"/>
        <w:ind w:firstLine="480"/>
        <w:jc w:val="both"/>
      </w:pPr>
      <w:r>
        <w:rPr>
          <w:rFonts w:ascii="Times New Roman" w:hAnsi="Times New Roman" w:eastAsia="SimSun"/>
          <w:b w:val="0"/>
          <w:i w:val="0"/>
          <w:sz w:val="24"/>
        </w:rPr>
        <w:t>一方面，培育“用数据说话、用数据决策、用数据管理”的政府数据文化。加强对领导干部的数据思维培训，使其深刻认识到数据在治理现代化中的核心价值，转变经验主义决策习惯。通过典型案例宣传与经验分享，树立数据治理标杆，激发各部门创新应用数据的积极性[133]。建立容错纠错机制，鼓励在数据应用领域的探索与试错，营造开放包容的创新文化。</w:t>
      </w:r>
    </w:p>
    <w:p>
      <w:pPr>
        <w:spacing w:line="440" w:lineRule="exact" w:before="0" w:after="0"/>
        <w:ind w:firstLine="480"/>
        <w:jc w:val="both"/>
      </w:pPr>
      <w:r>
        <w:rPr>
          <w:rFonts w:ascii="Times New Roman" w:hAnsi="Times New Roman" w:eastAsia="SimSun"/>
          <w:b w:val="0"/>
          <w:i w:val="0"/>
          <w:sz w:val="24"/>
        </w:rPr>
        <w:t>另一方面，全面提升公务员队伍的数字素养与专业技能。将数字素养纳入公务员培训体系，分层分类开展数据基础知识、分析工具及安全规范培训。针对专业技术岗位，引进和培养具备大数据分析、人工智能算法等高阶技能的高端人才[134]。建立政企学研合作机制，借助高校与企业资源，开展联合培养与实践锻炼，弥补政府内部技术人才短板。同时，加强公众数字素养教育，提升社会公众获取、理解及使用政务数据的能力，促进社会协同治理。</w:t>
      </w:r>
    </w:p>
    <w:p>
      <w:pPr>
        <w:pStyle w:val="Heading2"/>
        <w:spacing w:line="440" w:lineRule="exact"/>
      </w:pPr>
      <w:r>
        <w:rPr>
          <w:rFonts w:ascii="Times New Roman" w:hAnsi="Times New Roman" w:eastAsia="SimHei"/>
          <w:b/>
          <w:i w:val="0"/>
          <w:color w:val="000000"/>
          <w:sz w:val="28"/>
        </w:rPr>
        <w:t>6.6 本章小结</w:t>
      </w:r>
    </w:p>
    <w:p>
      <w:pPr>
        <w:spacing w:line="440" w:lineRule="exact" w:before="0" w:after="0"/>
        <w:ind w:firstLine="480"/>
        <w:jc w:val="both"/>
      </w:pPr>
      <w:r>
        <w:rPr>
          <w:rFonts w:ascii="Times New Roman" w:hAnsi="Times New Roman" w:eastAsia="SimSun"/>
          <w:b w:val="0"/>
          <w:i w:val="0"/>
          <w:sz w:val="24"/>
        </w:rPr>
        <w:t>本章基于前文的问题诊断与成因分析，从制度、组织、技术、安全及文化五个维度提出了数字政府视域下政务数据治理的系统性优化路径。首先，强调完善顶层设计与法律制度体系，通过专门立法与标准化管理夯实制度基础；其次，主张构建跨部门协同的组织运行机制，通过实体化机构与利益协调机制破除组织壁垒；再次，提出强化技术赋能与标准规范建设，利用新技术与统一标准提升治理效能；同时，建立数据安全与隐私保护长效机制，筑牢安全底线；最后，倡导培育数据文化与提升数字素养，增强治理软实力。这五条路径相互支撑、有机统一，共同构成了推进我国政务数据治理现代化的行动指南，为实现数字政府高质量发展提供了切实可行的解决方案。</w:t>
      </w:r>
    </w:p>
    <w:p>
      <w:pPr>
        <w:pStyle w:val="Heading1"/>
        <w:spacing w:line="480" w:lineRule="exact"/>
      </w:pPr>
      <w:r>
        <w:rPr>
          <w:rFonts w:ascii="Times New Roman" w:hAnsi="Times New Roman" w:eastAsia="SimHei"/>
          <w:b/>
          <w:i w:val="0"/>
          <w:color w:val="000000"/>
          <w:sz w:val="32"/>
        </w:rPr>
        <w:t>第7章 总结与展望</w:t>
      </w:r>
    </w:p>
    <w:p>
      <w:pPr>
        <w:pStyle w:val="Heading2"/>
        <w:spacing w:line="440" w:lineRule="exact"/>
      </w:pPr>
      <w:r>
        <w:rPr>
          <w:rFonts w:ascii="Times New Roman" w:hAnsi="Times New Roman" w:eastAsia="SimHei"/>
          <w:b/>
          <w:i w:val="0"/>
          <w:color w:val="000000"/>
          <w:sz w:val="28"/>
        </w:rPr>
        <w:t>7.1 研究工作总结</w:t>
      </w:r>
    </w:p>
    <w:p>
      <w:pPr>
        <w:spacing w:line="440" w:lineRule="exact" w:before="0" w:after="0"/>
        <w:ind w:firstLine="480"/>
        <w:jc w:val="both"/>
      </w:pPr>
      <w:r>
        <w:rPr>
          <w:rFonts w:ascii="Times New Roman" w:hAnsi="Times New Roman" w:eastAsia="SimSun"/>
          <w:b w:val="0"/>
          <w:i w:val="0"/>
          <w:sz w:val="24"/>
        </w:rPr>
        <w:t>本研究立足于数字政府建设的宏观背景，聚焦政务数据治理这一核心议题，旨在破解当前我国政务数据共享难、开放慢、安全弱等现实困境。通过系统梳理国内外相关文献，结合整体性治理理论与数据生命周期理论，构建了“制度-技术-组织”三维分析框架，对政务数据治理的内在逻辑与外在表现进行了全方位审视。本章将对全文的研究脉络、主要观点及结论进行系统性回顾与总结，以明确本研究的学术贡献与实践价值。</w:t>
      </w:r>
    </w:p>
    <w:p>
      <w:pPr>
        <w:spacing w:line="440" w:lineRule="exact" w:before="0" w:after="0"/>
        <w:ind w:firstLine="480"/>
        <w:jc w:val="both"/>
      </w:pPr>
      <w:r>
        <w:rPr>
          <w:rFonts w:ascii="Times New Roman" w:hAnsi="Times New Roman" w:eastAsia="SimSun"/>
          <w:b w:val="0"/>
          <w:i w:val="0"/>
          <w:sz w:val="24"/>
        </w:rPr>
        <w:t>首先，本研究厘清了数字政府视域下政务数据治理的核心概念与理论基础。通过对政务数据、数据治理及数字政府等概念的辨析，明确了政务数据作为关键生产要素的战略地位。在此基础上，引入整体性治理理论以解决碎片化治理难题，运用数据生命周期理论以规范数据处理全流程，二者共同构成了本研究的理论基石。基于此构建的“制度-技术-组织”分析框架，为后续深入剖析治理困境提供了有力的逻辑工具，确保了研究视角的系统性与全面性[135]。</w:t>
      </w:r>
    </w:p>
    <w:p>
      <w:pPr>
        <w:spacing w:line="440" w:lineRule="exact" w:before="0" w:after="0"/>
        <w:ind w:firstLine="480"/>
        <w:jc w:val="both"/>
      </w:pPr>
      <w:r>
        <w:rPr>
          <w:rFonts w:ascii="Times New Roman" w:hAnsi="Times New Roman" w:eastAsia="SimSun"/>
          <w:b w:val="0"/>
          <w:i w:val="0"/>
          <w:sz w:val="24"/>
        </w:rPr>
        <w:t>其次，本研究深入剖析了我国政务数据治理的现状与多重困境。通过对政策演进历程的梳理及典型地区的实践考察，发现尽管我国政务数据治理已取得阶段性成效，但仍面临严峻挑战。在共享开放层面，“数据孤岛”现象依然顽固，部门间数据壁垒难以彻底打破；在安全防护层面，数据泄露风险与隐私保护需求之间的矛盾日益凸显；在体制机制层面，条块分割的行政体制导致协同成本高昂，缺乏统一高效的协调机制。这些困境不仅制约了数据价值的释放，也影响了数字政府的服务效能[136]。</w:t>
      </w:r>
    </w:p>
    <w:p>
      <w:pPr>
        <w:spacing w:line="440" w:lineRule="exact" w:before="0" w:after="0"/>
        <w:ind w:firstLine="480"/>
        <w:jc w:val="both"/>
      </w:pPr>
      <w:r>
        <w:rPr>
          <w:rFonts w:ascii="Times New Roman" w:hAnsi="Times New Roman" w:eastAsia="SimSun"/>
          <w:b w:val="0"/>
          <w:i w:val="0"/>
          <w:sz w:val="24"/>
        </w:rPr>
        <w:t>再次，本研究从利益博弈、制度供给、技术标准及人才支撑四个维度，深刻揭示了政务数据治理困境的成因机理。研究指出，部门利益固化是导致数据共享阻滞的根本原因，各部门出于自身利益考量往往倾向于数据垄断。同时，法律法规体系的滞后使得数据权属界定不清，责任边界模糊。此外，技术标准不统一导致数据互通困难，而专业人才匮乏则限制了治理能力的提升。这一多维度的成因分析，为提出针对性的优化路径奠定了坚实基础[137]。</w:t>
      </w:r>
    </w:p>
    <w:p>
      <w:pPr>
        <w:spacing w:line="440" w:lineRule="exact" w:before="0" w:after="0"/>
        <w:ind w:firstLine="480"/>
        <w:jc w:val="both"/>
      </w:pPr>
      <w:r>
        <w:rPr>
          <w:rFonts w:ascii="Times New Roman" w:hAnsi="Times New Roman" w:eastAsia="SimSun"/>
          <w:b w:val="0"/>
          <w:i w:val="0"/>
          <w:sz w:val="24"/>
        </w:rPr>
        <w:t>最后，本研究借鉴国内外先进经验，提出了数字政府视域下政务数据治理的优化路径。通过对比分析美国、英国、欧盟以及国内浙江、广东等地的实践模式，总结出顶层设计引领、法律法规保障、技术标准统一及多元主体协同等成功经验。据此，本研究提出了完善顶层设计与法律制度体系、构建跨部门协同机制、强化技术赋能与标准建设、建立数据安全长效机制以及培育数据文化等五大优化策略。这些策略旨在从制度、技术、组织三个维度协同发力，推动政务数据治理迈向现代化[138]。</w:t>
      </w:r>
    </w:p>
    <w:p>
      <w:pPr>
        <w:pStyle w:val="Heading2"/>
        <w:spacing w:line="440" w:lineRule="exact"/>
      </w:pPr>
      <w:r>
        <w:rPr>
          <w:rFonts w:ascii="Times New Roman" w:hAnsi="Times New Roman" w:eastAsia="SimHei"/>
          <w:b/>
          <w:i w:val="0"/>
          <w:color w:val="000000"/>
          <w:sz w:val="28"/>
        </w:rPr>
        <w:t>7.2 主要创新点</w:t>
      </w:r>
    </w:p>
    <w:p>
      <w:pPr>
        <w:spacing w:line="440" w:lineRule="exact" w:before="0" w:after="0"/>
        <w:ind w:firstLine="480"/>
        <w:jc w:val="both"/>
      </w:pPr>
      <w:r>
        <w:rPr>
          <w:rFonts w:ascii="Times New Roman" w:hAnsi="Times New Roman" w:eastAsia="SimSun"/>
          <w:b w:val="0"/>
          <w:i w:val="0"/>
          <w:sz w:val="24"/>
        </w:rPr>
        <w:t>本研究在已有研究成果的基础上，力求在理论框架构建、分析视角拓展及对策体系设计等方面实现创新，主要体现为以下三个方面。</w:t>
      </w:r>
    </w:p>
    <w:p>
      <w:pPr>
        <w:spacing w:line="440" w:lineRule="exact" w:before="0" w:after="0"/>
        <w:ind w:firstLine="480"/>
        <w:jc w:val="both"/>
      </w:pPr>
      <w:r>
        <w:rPr>
          <w:rFonts w:ascii="Times New Roman" w:hAnsi="Times New Roman" w:eastAsia="SimSun"/>
          <w:b w:val="0"/>
          <w:i w:val="0"/>
          <w:sz w:val="24"/>
        </w:rPr>
        <w:t>第一，构建了基于“制度-技术-组织”三维视角的政务数据治理综合分析框架。现有研究多侧重于单一维度的探讨，如仅关注技术架构或仅分析法律制度，缺乏系统性的整合视角。本研究将整体性治理理论与数据生命周期理论有机结合，从制度规范、技术支撑和组织协同三个维度出发，构建了一个立体化的分析框架。该框架不仅涵盖了数据治理的全生命周期环节，还兼顾了宏观制度环境与微观组织行为，能够更全面、深入地解释政务数据治理中的复杂问题，弥补了单一视角研究的不足[139]。</w:t>
      </w:r>
    </w:p>
    <w:p>
      <w:pPr>
        <w:spacing w:line="440" w:lineRule="exact" w:before="0" w:after="0"/>
        <w:ind w:firstLine="480"/>
        <w:jc w:val="both"/>
      </w:pPr>
      <w:r>
        <w:rPr>
          <w:rFonts w:ascii="Times New Roman" w:hAnsi="Times New Roman" w:eastAsia="SimSun"/>
          <w:b w:val="0"/>
          <w:i w:val="0"/>
          <w:sz w:val="24"/>
        </w:rPr>
        <w:t>第二，深化了对政务数据治理困境成因的利益博弈分析。以往研究多将数据共享难归因于技术障碍或意识淡薄，较少从深层的组织利益结构进行剖析。本研究引入利益博弈视角，深入探讨了政府部门间在数据共享过程中的成本收益权衡。研究指出，数据所有权与使用权的分离、绩效考核机制的不完善以及问责机制的缺失，导致了部门间的“囚徒困境”。这一分析揭示了行政体制内部深层次的动力机制障碍，为理解“数据孤岛”的顽固性提供了新的解释逻辑，丰富了政务数据治理的政治经济学分析[140]。</w:t>
      </w:r>
    </w:p>
    <w:p>
      <w:pPr>
        <w:spacing w:line="440" w:lineRule="exact" w:before="0" w:after="0"/>
        <w:ind w:firstLine="480"/>
        <w:jc w:val="both"/>
      </w:pPr>
      <w:r>
        <w:rPr>
          <w:rFonts w:ascii="Times New Roman" w:hAnsi="Times New Roman" w:eastAsia="SimSun"/>
          <w:b w:val="0"/>
          <w:i w:val="0"/>
          <w:sz w:val="24"/>
        </w:rPr>
        <w:t>第三，提出了系统化、可操作的政务数据治理优化路径体系。针对现有对策建议往往零散、缺乏协同性的问题，本研究基于前文的成因分析，提出了一套涵盖法律、组织、技术、安全及文化五个层面的综合优化方案。特别是在组织机制设计上，提出了建立实体化数据管理机构与虚拟化协调小组相结合的混合治理模式；在技术赋能方面，强调了区块链、隐私计算等新兴技术在解决信任与安全难题中的应用潜力。这一优化路径体系既注重顶层设计的宏观指引，又关注具体实施环节的微观操作，具有较强的实践指导意义[141]。</w:t>
      </w:r>
    </w:p>
    <w:p>
      <w:pPr>
        <w:pStyle w:val="Heading2"/>
        <w:spacing w:line="440" w:lineRule="exact"/>
      </w:pPr>
      <w:r>
        <w:rPr>
          <w:rFonts w:ascii="Times New Roman" w:hAnsi="Times New Roman" w:eastAsia="SimHei"/>
          <w:b/>
          <w:i w:val="0"/>
          <w:color w:val="000000"/>
          <w:sz w:val="28"/>
        </w:rPr>
        <w:t>7.3 研究局限与不足</w:t>
      </w:r>
    </w:p>
    <w:p>
      <w:pPr>
        <w:spacing w:line="440" w:lineRule="exact" w:before="0" w:after="0"/>
        <w:ind w:firstLine="480"/>
        <w:jc w:val="both"/>
      </w:pPr>
      <w:r>
        <w:rPr>
          <w:rFonts w:ascii="Times New Roman" w:hAnsi="Times New Roman" w:eastAsia="SimSun"/>
          <w:b w:val="0"/>
          <w:i w:val="0"/>
          <w:sz w:val="24"/>
        </w:rPr>
        <w:t>尽管本研究力求严谨与全面，但受限于研究时间、数据获取渠道及个人学术水平，仍存在若干局限与不足，需要在未来的研究中加以改进。</w:t>
      </w:r>
    </w:p>
    <w:p>
      <w:pPr>
        <w:spacing w:line="440" w:lineRule="exact" w:before="0" w:after="0"/>
        <w:ind w:firstLine="480"/>
        <w:jc w:val="both"/>
      </w:pPr>
      <w:r>
        <w:rPr>
          <w:rFonts w:ascii="Times New Roman" w:hAnsi="Times New Roman" w:eastAsia="SimSun"/>
          <w:b w:val="0"/>
          <w:i w:val="0"/>
          <w:sz w:val="24"/>
        </w:rPr>
        <w:t>首先，实证数据的广度与深度有待拓展。本研究主要采用案例分析法与比较研究法，选取的案例多为公开报道的典型地区或国家。虽然这些案例具有代表性，但缺乏大规模的一手调研数据支持。例如，未能对全国不同层级、不同区域政府的政务数据治理现状进行广泛的问卷调查或深度访谈，导致部分结论的普适性可能受到一定限制。未来研究可通过扩大样本范围，运用定量分析方法验证相关假设，以提高研究结论的科学性与可靠性[142]。</w:t>
      </w:r>
    </w:p>
    <w:p>
      <w:pPr>
        <w:spacing w:line="440" w:lineRule="exact" w:before="0" w:after="0"/>
        <w:ind w:firstLine="480"/>
        <w:jc w:val="both"/>
      </w:pPr>
      <w:r>
        <w:rPr>
          <w:rFonts w:ascii="Times New Roman" w:hAnsi="Times New Roman" w:eastAsia="SimSun"/>
          <w:b w:val="0"/>
          <w:i w:val="0"/>
          <w:sz w:val="24"/>
        </w:rPr>
        <w:t>其次，对技术细节的探讨相对宏观。本研究重点关注治理的制度与组织层面，对于大数据、人工智能、区块链等具体技术在政务数据治理中的应用机制探讨不够深入。虽然提到了技术赋能的重要性，但未详细分析各类技术在实际应用场景中的适配性、成本效益及潜在风险。随着技术的快速迭代，如何更精准地将前沿技术融入治理流程，仍需结合计算机科学、信息管理等多学科知识进行更细致的技术与业务融合研究[143]。</w:t>
      </w:r>
    </w:p>
    <w:p>
      <w:pPr>
        <w:spacing w:line="440" w:lineRule="exact" w:before="0" w:after="0"/>
        <w:ind w:firstLine="480"/>
        <w:jc w:val="both"/>
      </w:pPr>
      <w:r>
        <w:rPr>
          <w:rFonts w:ascii="Times New Roman" w:hAnsi="Times New Roman" w:eastAsia="SimSun"/>
          <w:b w:val="0"/>
          <w:i w:val="0"/>
          <w:sz w:val="24"/>
        </w:rPr>
        <w:t>最后，动态演化视角的缺失。政务数据治理是一个动态发展的过程，随着数字政府建设的推进，新的问题与挑战不断涌现。本研究主要基于横截面的静态分析，对治理模式随时间演变的动态轨迹关注不足。例如，未充分探讨在突发公共事件（如公共卫生危机）背景下，政务数据治理机制的应急调整与弹性变化。未来研究可引入 longitudinal study（纵向研究）方法，追踪政务数据治理政策的演变及其效果，以揭示其动态发展规律[144]。</w:t>
      </w:r>
    </w:p>
    <w:p>
      <w:pPr>
        <w:pStyle w:val="Heading2"/>
        <w:spacing w:line="440" w:lineRule="exact"/>
      </w:pPr>
      <w:r>
        <w:rPr>
          <w:rFonts w:ascii="Times New Roman" w:hAnsi="Times New Roman" w:eastAsia="SimHei"/>
          <w:b/>
          <w:i w:val="0"/>
          <w:color w:val="000000"/>
          <w:sz w:val="28"/>
        </w:rPr>
        <w:t>7.4 未来研究展望</w:t>
      </w:r>
    </w:p>
    <w:p>
      <w:pPr>
        <w:spacing w:line="440" w:lineRule="exact" w:before="0" w:after="0"/>
        <w:ind w:firstLine="480"/>
        <w:jc w:val="both"/>
      </w:pPr>
      <w:r>
        <w:rPr>
          <w:rFonts w:ascii="Times New Roman" w:hAnsi="Times New Roman" w:eastAsia="SimSun"/>
          <w:b w:val="0"/>
          <w:i w:val="0"/>
          <w:sz w:val="24"/>
        </w:rPr>
        <w:t>基于本研究的结论与局限，未来政务数据治理研究可在以下几个方向进一步拓展与深化，以回应数字政府建设的新需求与新挑战。</w:t>
      </w:r>
    </w:p>
    <w:p>
      <w:pPr>
        <w:spacing w:line="440" w:lineRule="exact" w:before="0" w:after="0"/>
        <w:ind w:firstLine="480"/>
        <w:jc w:val="both"/>
      </w:pPr>
      <w:r>
        <w:rPr>
          <w:rFonts w:ascii="Times New Roman" w:hAnsi="Times New Roman" w:eastAsia="SimSun"/>
          <w:b w:val="0"/>
          <w:i w:val="0"/>
          <w:sz w:val="24"/>
        </w:rPr>
        <w:t>一是加强政务数据资产化与价值评估研究。随着数据要素市场化配置的推进，政务数据作为一种重要资产，其确权、定价、交易及价值评估成为亟待解决的理论与实践难题。未来研究可聚焦于政务数据资产登记的制度设计、数据价值评估模型的构建以及数据交易市场的监管机制，探索如何在保障公共利益的前提下，实现政务数据的社会价值与经济价值最大化[145]。</w:t>
      </w:r>
    </w:p>
    <w:p>
      <w:pPr>
        <w:spacing w:line="440" w:lineRule="exact" w:before="0" w:after="0"/>
        <w:ind w:firstLine="480"/>
        <w:jc w:val="both"/>
      </w:pPr>
      <w:r>
        <w:rPr>
          <w:rFonts w:ascii="Times New Roman" w:hAnsi="Times New Roman" w:eastAsia="SimSun"/>
          <w:b w:val="0"/>
          <w:i w:val="0"/>
          <w:sz w:val="24"/>
        </w:rPr>
        <w:t>二是深化算法治理与伦理风险研究。人工智能技术在政务数据治理中的广泛应用，带来了算法歧视、黑箱操作及伦理失范等新风险。未来研究应关注算法透明度、可解释性及问责机制的建立，探讨如何将伦理原则嵌入算法设计与应用全过程。同时，需研究如何平衡技术效率与社会公平，防止技术滥用对公民权利造成侵害，构建负责任的智能治理体系[146]。</w:t>
      </w:r>
    </w:p>
    <w:p>
      <w:pPr>
        <w:spacing w:line="440" w:lineRule="exact" w:before="0" w:after="0"/>
        <w:ind w:firstLine="480"/>
        <w:jc w:val="both"/>
      </w:pPr>
      <w:r>
        <w:rPr>
          <w:rFonts w:ascii="Times New Roman" w:hAnsi="Times New Roman" w:eastAsia="SimSun"/>
          <w:b w:val="0"/>
          <w:i w:val="0"/>
          <w:sz w:val="24"/>
        </w:rPr>
        <w:t>三是探索跨区域、跨层级的协同治理机制。随着长三角、粤港澳大湾区等区域一体化战略的实施，跨区域政务数据共享与协同治理成为新趋势。未来研究可聚焦于跨区域数据共享的法律障碍突破、利益补偿机制设计及协同平台构建，探索适应区域一体化发展的政务数据治理新模式。此外，还需关注中央与地方在数据治理权责划分上的动态调整，构建上下联动、左右协同的高效治理格局[147]。</w:t>
      </w:r>
    </w:p>
    <w:p>
      <w:pPr>
        <w:spacing w:line="440" w:lineRule="exact" w:before="0" w:after="0"/>
        <w:ind w:firstLine="480"/>
        <w:jc w:val="both"/>
      </w:pPr>
      <w:r>
        <w:rPr>
          <w:rFonts w:ascii="Times New Roman" w:hAnsi="Times New Roman" w:eastAsia="SimSun"/>
          <w:b w:val="0"/>
          <w:i w:val="0"/>
          <w:sz w:val="24"/>
        </w:rPr>
        <w:t>四是开展国际比较与全球治理研究。在全球数字化浪潮下，政务数据治理已成为国际竞争与合作的重要领域。未来研究应拓宽国际视野，深入比较不同政治体制、文化背景下的政务数据治理模式，提炼具有普遍意义的治理规律。同时，关注跨境数据流动、数据主权及安全合作等全球性议题，为中国参与全球数字治理规则制定提供理论支撑与政策建议[148]。</w:t>
      </w:r>
    </w:p>
    <w:p>
      <w:r>
        <w:br w:type="page"/>
      </w:r>
    </w:p>
    <w:p>
      <w:pPr>
        <w:pStyle w:val="Heading1"/>
        <w:spacing w:line="480" w:lineRule="exact"/>
      </w:pPr>
      <w:r>
        <w:rPr>
          <w:rFonts w:ascii="Times New Roman" w:hAnsi="Times New Roman" w:eastAsia="SimHei"/>
          <w:b/>
          <w:i w:val="0"/>
          <w:color w:val="000000"/>
          <w:sz w:val="32"/>
        </w:rPr>
        <w:t>参考文献</w:t>
      </w:r>
    </w:p>
    <w:p>
      <w:pPr>
        <w:spacing w:line="360" w:lineRule="exact" w:before="0" w:after="40"/>
      </w:pPr>
      <w:r>
        <w:rPr>
          <w:rFonts w:ascii="Times New Roman" w:hAnsi="Times New Roman" w:eastAsia="SimSun"/>
          <w:b w:val="0"/>
          <w:i w:val="0"/>
          <w:sz w:val="21"/>
        </w:rPr>
        <w:t>[1] 黄奇帆. 数字化变革[M]. 北京: 中信出版社, 2022.</w:t>
      </w:r>
    </w:p>
    <w:p>
      <w:pPr>
        <w:spacing w:line="360" w:lineRule="exact" w:before="0" w:after="40"/>
      </w:pPr>
      <w:r>
        <w:rPr>
          <w:rFonts w:ascii="Times New Roman" w:hAnsi="Times New Roman" w:eastAsia="SimSun"/>
          <w:b w:val="0"/>
          <w:i w:val="0"/>
          <w:sz w:val="21"/>
        </w:rPr>
        <w:t>[2] 陈振明. 数字政府建设的逻辑与路径[J]. 中国行政管理, 2021(5): 6-12.</w:t>
      </w:r>
    </w:p>
    <w:p>
      <w:pPr>
        <w:spacing w:line="360" w:lineRule="exact" w:before="0" w:after="40"/>
      </w:pPr>
      <w:r>
        <w:rPr>
          <w:rFonts w:ascii="Times New Roman" w:hAnsi="Times New Roman" w:eastAsia="SimSun"/>
          <w:b w:val="0"/>
          <w:i w:val="0"/>
          <w:sz w:val="21"/>
        </w:rPr>
        <w:t>[3] 孟天广. 数字治理生态: 数字时代的政府变革图景[J]. 政治学研究, 2022(3): 15-26.</w:t>
      </w:r>
    </w:p>
    <w:p>
      <w:pPr>
        <w:spacing w:line="360" w:lineRule="exact" w:before="0" w:after="40"/>
      </w:pPr>
      <w:r>
        <w:rPr>
          <w:rFonts w:ascii="Times New Roman" w:hAnsi="Times New Roman" w:eastAsia="SimSun"/>
          <w:b w:val="0"/>
          <w:i w:val="0"/>
          <w:sz w:val="21"/>
        </w:rPr>
        <w:t>[4] 王绍光. 数据治理与国家能力[J]. 学术月刊, 2020, 52(9): 5-16.</w:t>
      </w:r>
    </w:p>
    <w:p>
      <w:pPr>
        <w:spacing w:line="360" w:lineRule="exact" w:before="0" w:after="40"/>
      </w:pPr>
      <w:r>
        <w:rPr>
          <w:rFonts w:ascii="Times New Roman" w:hAnsi="Times New Roman" w:eastAsia="SimSun"/>
          <w:b w:val="0"/>
          <w:i w:val="0"/>
          <w:sz w:val="21"/>
        </w:rPr>
        <w:t>[5] 张成福, 唐钧. 电子政务: 信息时代的政府再造[M]. 北京: 中国人民大学出版社, 2019.</w:t>
      </w:r>
    </w:p>
    <w:p>
      <w:pPr>
        <w:spacing w:line="360" w:lineRule="exact" w:before="0" w:after="40"/>
      </w:pPr>
      <w:r>
        <w:rPr>
          <w:rFonts w:ascii="Times New Roman" w:hAnsi="Times New Roman" w:eastAsia="SimSun"/>
          <w:b w:val="0"/>
          <w:i w:val="0"/>
          <w:sz w:val="21"/>
        </w:rPr>
        <w:t>[6] 郁建兴, 黄亮. 数字时代的地方政府治理创新[J]. 治理研究, 2021, 37(2): 5-13.</w:t>
      </w:r>
    </w:p>
    <w:p>
      <w:pPr>
        <w:spacing w:line="360" w:lineRule="exact" w:before="0" w:after="40"/>
      </w:pPr>
      <w:r>
        <w:rPr>
          <w:rFonts w:ascii="Times New Roman" w:hAnsi="Times New Roman" w:eastAsia="SimSun"/>
          <w:b w:val="0"/>
          <w:i w:val="0"/>
          <w:sz w:val="21"/>
        </w:rPr>
        <w:t>[7] 周文彰. 数字政府和国家治理现代化[J]. 行政管理改革, 2020(2): 4-10.</w:t>
      </w:r>
    </w:p>
    <w:p>
      <w:pPr>
        <w:spacing w:line="360" w:lineRule="exact" w:before="0" w:after="40"/>
      </w:pPr>
      <w:r>
        <w:rPr>
          <w:rFonts w:ascii="Times New Roman" w:hAnsi="Times New Roman" w:eastAsia="SimSun"/>
          <w:b w:val="0"/>
          <w:i w:val="0"/>
          <w:sz w:val="21"/>
        </w:rPr>
        <w:t>[8] 谭海波, 范梓腾. “技术-组织”互动视角下数字政府建设的路径研究[J]. 公共管理学报, 2021, 18(3): 12-23.</w:t>
      </w:r>
    </w:p>
    <w:p>
      <w:pPr>
        <w:spacing w:line="360" w:lineRule="exact" w:before="0" w:after="40"/>
      </w:pPr>
      <w:r>
        <w:rPr>
          <w:rFonts w:ascii="Times New Roman" w:hAnsi="Times New Roman" w:eastAsia="SimSun"/>
          <w:b w:val="0"/>
          <w:i w:val="0"/>
          <w:sz w:val="21"/>
        </w:rPr>
        <w:t>[9] 赵国军, 杨兰. 政务数据共享开放的阻滞因素与破解路径[J]. 情报杂志, 2022, 41(5): 189-196.</w:t>
      </w:r>
    </w:p>
    <w:p>
      <w:pPr>
        <w:spacing w:line="360" w:lineRule="exact" w:before="0" w:after="40"/>
      </w:pPr>
      <w:r>
        <w:rPr>
          <w:rFonts w:ascii="Times New Roman" w:hAnsi="Times New Roman" w:eastAsia="SimSun"/>
          <w:b w:val="0"/>
          <w:i w:val="0"/>
          <w:sz w:val="21"/>
        </w:rPr>
        <w:t>[10] 郑磊, 高丰. 中国开放数据政策演变与展望[J]. 图书情报工作, 2020, 64(12): 3-11.</w:t>
      </w:r>
    </w:p>
    <w:p>
      <w:pPr>
        <w:spacing w:line="360" w:lineRule="exact" w:before="0" w:after="40"/>
      </w:pPr>
      <w:r>
        <w:rPr>
          <w:rFonts w:ascii="Times New Roman" w:hAnsi="Times New Roman" w:eastAsia="SimSun"/>
          <w:b w:val="0"/>
          <w:i w:val="0"/>
          <w:sz w:val="21"/>
        </w:rPr>
        <w:t>[11] Dunleavy P, Margetts H, Bastow S, et al. New public management is dead-long live digital-era governance[J]. Journal of Public Administration Research and Theory, 2006, 16(3): 467-494.</w:t>
      </w:r>
    </w:p>
    <w:p>
      <w:pPr>
        <w:spacing w:line="360" w:lineRule="exact" w:before="0" w:after="40"/>
      </w:pPr>
      <w:r>
        <w:rPr>
          <w:rFonts w:ascii="Times New Roman" w:hAnsi="Times New Roman" w:eastAsia="SimSun"/>
          <w:b w:val="0"/>
          <w:i w:val="0"/>
          <w:sz w:val="21"/>
        </w:rPr>
        <w:t>[12] Janssen M, Helbig N. Innovating and changing the policy-cycle: Policy challenges raised by big data[J]. Government Information Quarterly, 2018, 35(4): S1-S10.</w:t>
      </w:r>
    </w:p>
    <w:p>
      <w:pPr>
        <w:spacing w:line="360" w:lineRule="exact" w:before="0" w:after="40"/>
      </w:pPr>
      <w:r>
        <w:rPr>
          <w:rFonts w:ascii="Times New Roman" w:hAnsi="Times New Roman" w:eastAsia="SimSun"/>
          <w:b w:val="0"/>
          <w:i w:val="0"/>
          <w:sz w:val="21"/>
        </w:rPr>
        <w:t>[13] Dawes S S, Vidiasova L, Parkhimovich O. Planning and designing open government data programs: An ecosystem approach[J]. Government Information Quarterly, 2016, 33(1): 15-27.</w:t>
      </w:r>
    </w:p>
    <w:p>
      <w:pPr>
        <w:spacing w:line="360" w:lineRule="exact" w:before="0" w:after="40"/>
      </w:pPr>
      <w:r>
        <w:rPr>
          <w:rFonts w:ascii="Times New Roman" w:hAnsi="Times New Roman" w:eastAsia="SimSun"/>
          <w:b w:val="0"/>
          <w:i w:val="0"/>
          <w:sz w:val="21"/>
        </w:rPr>
        <w:t>[14] Mergel I, Rethemeyer R K, Andersen K V. Public management in the digital age[M]. Cambridge: Cambridge University Press, 2020.</w:t>
      </w:r>
    </w:p>
    <w:p>
      <w:pPr>
        <w:spacing w:line="360" w:lineRule="exact" w:before="0" w:after="40"/>
      </w:pPr>
      <w:r>
        <w:rPr>
          <w:rFonts w:ascii="Times New Roman" w:hAnsi="Times New Roman" w:eastAsia="SimSun"/>
          <w:b w:val="0"/>
          <w:i w:val="0"/>
          <w:sz w:val="21"/>
        </w:rPr>
        <w:t>[15] Harrison T M, Guerrero S, Burke G B, et al. Open government data: An empirical examination of citizen participation in government-community collaborations[J]. Social Science Computer Review, 2012, 30(1): 3-20.</w:t>
      </w:r>
    </w:p>
    <w:p>
      <w:pPr>
        <w:spacing w:line="360" w:lineRule="exact" w:before="0" w:after="40"/>
      </w:pPr>
      <w:r>
        <w:rPr>
          <w:rFonts w:ascii="Times New Roman" w:hAnsi="Times New Roman" w:eastAsia="SimSun"/>
          <w:b w:val="0"/>
          <w:i w:val="0"/>
          <w:sz w:val="21"/>
        </w:rPr>
        <w:t>[16] 国务院. 关于加强数字政府建设的指导意见[Z]. 北京: 人民出版社, 2022.</w:t>
      </w:r>
    </w:p>
    <w:p>
      <w:pPr>
        <w:spacing w:line="360" w:lineRule="exact" w:before="0" w:after="40"/>
      </w:pPr>
      <w:r>
        <w:rPr>
          <w:rFonts w:ascii="Times New Roman" w:hAnsi="Times New Roman" w:eastAsia="SimSun"/>
          <w:b w:val="0"/>
          <w:i w:val="0"/>
          <w:sz w:val="21"/>
        </w:rPr>
        <w:t>[17] 全国人大常委会. 中华人民共和国数据安全法[Z]. 北京: 人民出版社, 2021.</w:t>
      </w:r>
    </w:p>
    <w:p>
      <w:pPr>
        <w:spacing w:line="360" w:lineRule="exact" w:before="0" w:after="40"/>
      </w:pPr>
      <w:r>
        <w:rPr>
          <w:rFonts w:ascii="Times New Roman" w:hAnsi="Times New Roman" w:eastAsia="SimSun"/>
          <w:b w:val="0"/>
          <w:i w:val="0"/>
          <w:sz w:val="21"/>
        </w:rPr>
        <w:t>[18] 全国人大常委会. 中华人民共和国个人信息保护法[Z]. 北京: 人民出版社, 2021.</w:t>
      </w:r>
    </w:p>
    <w:p>
      <w:pPr>
        <w:spacing w:line="360" w:lineRule="exact" w:before="0" w:after="40"/>
      </w:pPr>
      <w:r>
        <w:rPr>
          <w:rFonts w:ascii="Times New Roman" w:hAnsi="Times New Roman" w:eastAsia="SimSun"/>
          <w:b w:val="0"/>
          <w:i w:val="0"/>
          <w:sz w:val="21"/>
        </w:rPr>
        <w:t>[19] 国务院办公厅. 关于建立健全政务数据共享协调机制加快推进数据有序共享的意见[Z]. 北京: 人民出版社, 2021.</w:t>
      </w:r>
    </w:p>
    <w:p>
      <w:pPr>
        <w:spacing w:line="360" w:lineRule="exact" w:before="0" w:after="40"/>
      </w:pPr>
      <w:r>
        <w:rPr>
          <w:rFonts w:ascii="Times New Roman" w:hAnsi="Times New Roman" w:eastAsia="SimSun"/>
          <w:b w:val="0"/>
          <w:i w:val="0"/>
          <w:sz w:val="21"/>
        </w:rPr>
        <w:t>[20] 李重照, 刘淑华. 数字政府治理结构的演进逻辑与优化路径[J]. 电子政务, 2021(8): 2-11.</w:t>
      </w:r>
    </w:p>
    <w:p>
      <w:pPr>
        <w:spacing w:line="360" w:lineRule="exact" w:before="0" w:after="40"/>
      </w:pPr>
      <w:r>
        <w:rPr>
          <w:rFonts w:ascii="Times New Roman" w:hAnsi="Times New Roman" w:eastAsia="SimSun"/>
          <w:b w:val="0"/>
          <w:i w:val="0"/>
          <w:sz w:val="21"/>
        </w:rPr>
        <w:t>[21] 鲍静, 贾开. 数字政府治理的理论逻辑与实践路径[J]. 中国行政管理, 2022(1): 22-29.</w:t>
      </w:r>
    </w:p>
    <w:p>
      <w:pPr>
        <w:spacing w:line="360" w:lineRule="exact" w:before="0" w:after="40"/>
      </w:pPr>
      <w:r>
        <w:rPr>
          <w:rFonts w:ascii="Times New Roman" w:hAnsi="Times New Roman" w:eastAsia="SimSun"/>
          <w:b w:val="0"/>
          <w:i w:val="0"/>
          <w:sz w:val="21"/>
        </w:rPr>
        <w:t>[22] 孙伟平. 论数字政府建设中的伦理问题[J]. 哲学动态, 2021(6): 56-63.</w:t>
      </w:r>
    </w:p>
    <w:p>
      <w:pPr>
        <w:spacing w:line="360" w:lineRule="exact" w:before="0" w:after="40"/>
      </w:pPr>
      <w:r>
        <w:rPr>
          <w:rFonts w:ascii="Times New Roman" w:hAnsi="Times New Roman" w:eastAsia="SimSun"/>
          <w:b w:val="0"/>
          <w:i w:val="0"/>
          <w:sz w:val="21"/>
        </w:rPr>
        <w:t>[23] 胡税根, 单立栋. 数字政府建设中的数据安全治理研究[J]. 浙江大学学报(人文社会科学版), 2022, 52(4): 5-16.</w:t>
      </w:r>
    </w:p>
    <w:p>
      <w:pPr>
        <w:spacing w:line="360" w:lineRule="exact" w:before="0" w:after="40"/>
      </w:pPr>
      <w:r>
        <w:rPr>
          <w:rFonts w:ascii="Times New Roman" w:hAnsi="Times New Roman" w:eastAsia="SimSun"/>
          <w:b w:val="0"/>
          <w:i w:val="0"/>
          <w:sz w:val="21"/>
        </w:rPr>
        <w:t>[24] 叶战备, 田景春. 政务数据共享的法律困境与出路[J]. 法学论坛, 2020(3): 112-120.</w:t>
      </w:r>
    </w:p>
    <w:p>
      <w:pPr>
        <w:spacing w:line="360" w:lineRule="exact" w:before="0" w:after="40"/>
      </w:pPr>
      <w:r>
        <w:rPr>
          <w:rFonts w:ascii="Times New Roman" w:hAnsi="Times New Roman" w:eastAsia="SimSun"/>
          <w:b w:val="0"/>
          <w:i w:val="0"/>
          <w:sz w:val="21"/>
        </w:rPr>
        <w:t>[25] 徐晓林, 刘勇. 数字政府背景下政务数据治理的模式创新[J]. 情报理论与实践, 2021, 44(9): 10-17.</w:t>
      </w:r>
    </w:p>
    <w:p>
      <w:pPr>
        <w:spacing w:line="360" w:lineRule="exact" w:before="0" w:after="40"/>
      </w:pPr>
      <w:r>
        <w:rPr>
          <w:rFonts w:ascii="Times New Roman" w:hAnsi="Times New Roman" w:eastAsia="SimSun"/>
          <w:b w:val="0"/>
          <w:i w:val="0"/>
          <w:sz w:val="21"/>
        </w:rPr>
        <w:t>[26] OECD. The OECD Framework for Digital Talent and Skills in the Public Sector[R]. Paris: OECD Publishing, 2021.</w:t>
      </w:r>
    </w:p>
    <w:p>
      <w:pPr>
        <w:spacing w:line="360" w:lineRule="exact" w:before="0" w:after="40"/>
      </w:pPr>
      <w:r>
        <w:rPr>
          <w:rFonts w:ascii="Times New Roman" w:hAnsi="Times New Roman" w:eastAsia="SimSun"/>
          <w:b w:val="0"/>
          <w:i w:val="0"/>
          <w:sz w:val="21"/>
        </w:rPr>
        <w:t>[27] United Nations. E-Government Survey 2022: The Future of Digital Government[R]. New York: United Nations, 2022.</w:t>
      </w:r>
    </w:p>
    <w:p>
      <w:pPr>
        <w:spacing w:line="360" w:lineRule="exact" w:before="0" w:after="40"/>
      </w:pPr>
      <w:r>
        <w:rPr>
          <w:rFonts w:ascii="Times New Roman" w:hAnsi="Times New Roman" w:eastAsia="SimSun"/>
          <w:b w:val="0"/>
          <w:i w:val="0"/>
          <w:sz w:val="21"/>
        </w:rPr>
        <w:t>[28] 阿里研究院. 数字政府发展指数报告(2022)[R]. 杭州: 阿里研究院, 2022.</w:t>
      </w:r>
    </w:p>
    <w:p>
      <w:pPr>
        <w:spacing w:line="360" w:lineRule="exact" w:before="0" w:after="40"/>
      </w:pPr>
      <w:r>
        <w:rPr>
          <w:rFonts w:ascii="Times New Roman" w:hAnsi="Times New Roman" w:eastAsia="SimSun"/>
          <w:b w:val="0"/>
          <w:i w:val="0"/>
          <w:sz w:val="21"/>
        </w:rPr>
        <w:t>[29] 清华大学. 2022年中国数字政府发展指数报告[R]. 北京: 清华大学, 2022.</w:t>
      </w:r>
    </w:p>
    <w:p>
      <w:pPr>
        <w:spacing w:line="360" w:lineRule="exact" w:before="0" w:after="40"/>
      </w:pPr>
      <w:r>
        <w:rPr>
          <w:rFonts w:ascii="Times New Roman" w:hAnsi="Times New Roman" w:eastAsia="SimSun"/>
          <w:b w:val="0"/>
          <w:i w:val="0"/>
          <w:sz w:val="21"/>
        </w:rPr>
        <w:t>[30] 樊鹏. 数字政府建设的整体性治理逻辑[J]. 政治学研究, 2023(1): 34-45.</w:t>
      </w:r>
    </w:p>
    <w:p>
      <w:pPr>
        <w:spacing w:line="360" w:lineRule="exact" w:before="0" w:after="40"/>
      </w:pPr>
      <w:r>
        <w:rPr>
          <w:rFonts w:ascii="Times New Roman" w:hAnsi="Times New Roman" w:eastAsia="SimSun"/>
          <w:b w:val="0"/>
          <w:i w:val="0"/>
          <w:sz w:val="21"/>
        </w:rPr>
        <w:t>[31] 中共中央, 国务院. 关于加强数字政府建设的指导意见[Z]. 北京: 人民出版社, 2022.</w:t>
      </w:r>
    </w:p>
    <w:p>
      <w:pPr>
        <w:spacing w:line="360" w:lineRule="exact" w:before="0" w:after="40"/>
      </w:pPr>
      <w:r>
        <w:rPr>
          <w:rFonts w:ascii="Times New Roman" w:hAnsi="Times New Roman" w:eastAsia="SimSun"/>
          <w:b w:val="0"/>
          <w:i w:val="0"/>
          <w:sz w:val="21"/>
        </w:rPr>
        <w:t>[32] 国务院. “十四五”数字经济发展规划[Z]. 北京: 人民出版社, 2021.</w:t>
      </w:r>
    </w:p>
    <w:p>
      <w:pPr>
        <w:spacing w:line="360" w:lineRule="exact" w:before="0" w:after="40"/>
      </w:pPr>
      <w:r>
        <w:rPr>
          <w:rFonts w:ascii="Times New Roman" w:hAnsi="Times New Roman" w:eastAsia="SimSun"/>
          <w:b w:val="0"/>
          <w:i w:val="0"/>
          <w:sz w:val="21"/>
        </w:rPr>
        <w:t>[33] 王长胜. 中国电子政务发展报告(2023)[M]. 北京: 社会科学文献出版社, 2023.</w:t>
      </w:r>
    </w:p>
    <w:p>
      <w:pPr>
        <w:spacing w:line="360" w:lineRule="exact" w:before="0" w:after="40"/>
      </w:pPr>
      <w:r>
        <w:rPr>
          <w:rFonts w:ascii="Times New Roman" w:hAnsi="Times New Roman" w:eastAsia="SimSun"/>
          <w:b w:val="0"/>
          <w:i w:val="0"/>
          <w:sz w:val="21"/>
        </w:rPr>
        <w:t>[34] Dunleavy P, Margetts H, Bastow S, et al. Digital era governance: IT corporations, the state, and e-government[M]. Oxford: Oxford University Press, 2006.</w:t>
      </w:r>
    </w:p>
    <w:p>
      <w:pPr>
        <w:spacing w:line="360" w:lineRule="exact" w:before="0" w:after="40"/>
      </w:pPr>
      <w:r>
        <w:rPr>
          <w:rFonts w:ascii="Times New Roman" w:hAnsi="Times New Roman" w:eastAsia="SimSun"/>
          <w:b w:val="0"/>
          <w:i w:val="0"/>
          <w:sz w:val="21"/>
        </w:rPr>
        <w:t>[35] 黄奇帆. 数字化改革：重构政府治理流程[J]. 管理世界, 2022, 38(5): 1-12.</w:t>
      </w:r>
    </w:p>
    <w:p>
      <w:pPr>
        <w:spacing w:line="360" w:lineRule="exact" w:before="0" w:after="40"/>
      </w:pPr>
      <w:r>
        <w:rPr>
          <w:rFonts w:ascii="Times New Roman" w:hAnsi="Times New Roman" w:eastAsia="SimSun"/>
          <w:b w:val="0"/>
          <w:i w:val="0"/>
          <w:sz w:val="21"/>
        </w:rPr>
        <w:t>[36] Heeks R. Success and failure of e-government projects in developing countries: analysis of the role of culture, values and beliefs[J]. Information Technologies &amp; International Development, 2003, 1(1): 1-18.</w:t>
      </w:r>
    </w:p>
    <w:p>
      <w:pPr>
        <w:spacing w:line="360" w:lineRule="exact" w:before="0" w:after="40"/>
      </w:pPr>
      <w:r>
        <w:rPr>
          <w:rFonts w:ascii="Times New Roman" w:hAnsi="Times New Roman" w:eastAsia="SimSun"/>
          <w:b w:val="0"/>
          <w:i w:val="0"/>
          <w:sz w:val="21"/>
        </w:rPr>
        <w:t>[37] Janssen M, Charalabidis Y, Zuiderwijk A. Benefits, adoption barriers and myths of open data and open government[J]. Information Systems Management, 2012, 29(4): 258-268.</w:t>
      </w:r>
    </w:p>
    <w:p>
      <w:pPr>
        <w:spacing w:line="360" w:lineRule="exact" w:before="0" w:after="40"/>
      </w:pPr>
      <w:r>
        <w:rPr>
          <w:rFonts w:ascii="Times New Roman" w:hAnsi="Times New Roman" w:eastAsia="SimSun"/>
          <w:b w:val="0"/>
          <w:i w:val="0"/>
          <w:sz w:val="21"/>
        </w:rPr>
        <w:t>[38] Zuiderwijk A, Janssen M. Open data policies, their implementation and impact: a framework for comparison[J]. Government Information Quarterly, 2014, 31(1): 17-29.</w:t>
      </w:r>
    </w:p>
    <w:p>
      <w:pPr>
        <w:spacing w:line="360" w:lineRule="exact" w:before="0" w:after="40"/>
      </w:pPr>
      <w:r>
        <w:rPr>
          <w:rFonts w:ascii="Times New Roman" w:hAnsi="Times New Roman" w:eastAsia="SimSun"/>
          <w:b w:val="0"/>
          <w:i w:val="0"/>
          <w:sz w:val="21"/>
        </w:rPr>
        <w:t>[39] Van Ooijen I, Ubacht J, Janssen M. Privacy by design in government data processing: a case study[J]. Transforming Government: People, Process and Policy, 2019, 11(1): 2-18.</w:t>
      </w:r>
    </w:p>
    <w:p>
      <w:pPr>
        <w:spacing w:line="360" w:lineRule="exact" w:before="0" w:after="40"/>
      </w:pPr>
      <w:r>
        <w:rPr>
          <w:rFonts w:ascii="Times New Roman" w:hAnsi="Times New Roman" w:eastAsia="SimSun"/>
          <w:b w:val="0"/>
          <w:i w:val="0"/>
          <w:sz w:val="21"/>
        </w:rPr>
        <w:t>[40] 汪玉凯. 电子政务概论[M]. 北京: 清华大学出版社, 2018.</w:t>
      </w:r>
    </w:p>
    <w:p>
      <w:pPr>
        <w:spacing w:line="360" w:lineRule="exact" w:before="0" w:after="40"/>
      </w:pPr>
      <w:r>
        <w:rPr>
          <w:rFonts w:ascii="Times New Roman" w:hAnsi="Times New Roman" w:eastAsia="SimSun"/>
          <w:b w:val="0"/>
          <w:i w:val="0"/>
          <w:sz w:val="21"/>
        </w:rPr>
        <w:t>[41] 孟天广, 李锋. 政务数据开放的驱动因素与阻滞机制研究[J]. 政治学研究, 2021(3): 45-56.</w:t>
      </w:r>
    </w:p>
    <w:p>
      <w:pPr>
        <w:spacing w:line="360" w:lineRule="exact" w:before="0" w:after="40"/>
      </w:pPr>
      <w:r>
        <w:rPr>
          <w:rFonts w:ascii="Times New Roman" w:hAnsi="Times New Roman" w:eastAsia="SimSun"/>
          <w:b w:val="0"/>
          <w:i w:val="0"/>
          <w:sz w:val="21"/>
        </w:rPr>
        <w:t>[42] 黄璜. 中国“数字政府”的政策演变与协同治理[J]. 行政论坛, 2020, 27(4): 5-13.</w:t>
      </w:r>
    </w:p>
    <w:p>
      <w:pPr>
        <w:spacing w:line="360" w:lineRule="exact" w:before="0" w:after="40"/>
      </w:pPr>
      <w:r>
        <w:rPr>
          <w:rFonts w:ascii="Times New Roman" w:hAnsi="Times New Roman" w:eastAsia="SimSun"/>
          <w:b w:val="0"/>
          <w:i w:val="0"/>
          <w:sz w:val="21"/>
        </w:rPr>
        <w:t>[43] 张新宝, 任鸿雁. 个人信息保护法的立法宗旨与基本原则[J]. 法学杂志, 2021, 42(9): 1-10.</w:t>
      </w:r>
    </w:p>
    <w:p>
      <w:pPr>
        <w:spacing w:line="360" w:lineRule="exact" w:before="0" w:after="40"/>
      </w:pPr>
      <w:r>
        <w:rPr>
          <w:rFonts w:ascii="Times New Roman" w:hAnsi="Times New Roman" w:eastAsia="SimSun"/>
          <w:b w:val="0"/>
          <w:i w:val="0"/>
          <w:sz w:val="21"/>
        </w:rPr>
        <w:t>[44] Gil-Garcia J R, Dawes S S, Pardo T A. Digital government and public management research: finding the crossroads[J]. Public Management Review, 2018, 20(5): 633-646.</w:t>
      </w:r>
    </w:p>
    <w:p>
      <w:pPr>
        <w:spacing w:line="360" w:lineRule="exact" w:before="0" w:after="40"/>
      </w:pPr>
      <w:r>
        <w:rPr>
          <w:rFonts w:ascii="Times New Roman" w:hAnsi="Times New Roman" w:eastAsia="SimSun"/>
          <w:b w:val="0"/>
          <w:i w:val="0"/>
          <w:sz w:val="21"/>
        </w:rPr>
        <w:t>[45] 陈振明. 公共管理学原理[M]. 北京: 中国人民大学出版社, 2017.</w:t>
      </w:r>
    </w:p>
    <w:p>
      <w:pPr>
        <w:spacing w:line="360" w:lineRule="exact" w:before="0" w:after="40"/>
      </w:pPr>
      <w:r>
        <w:rPr>
          <w:rFonts w:ascii="Times New Roman" w:hAnsi="Times New Roman" w:eastAsia="SimSun"/>
          <w:b w:val="0"/>
          <w:i w:val="0"/>
          <w:sz w:val="21"/>
        </w:rPr>
        <w:t>[46] 杨道玲. 政务数据共享开放的制度障碍与突破路径[J]. 中国行政管理, 2019(12): 22-28.</w:t>
      </w:r>
    </w:p>
    <w:p>
      <w:pPr>
        <w:spacing w:line="360" w:lineRule="exact" w:before="0" w:after="40"/>
      </w:pPr>
      <w:r>
        <w:rPr>
          <w:rFonts w:ascii="Times New Roman" w:hAnsi="Times New Roman" w:eastAsia="SimSun"/>
          <w:b w:val="0"/>
          <w:i w:val="0"/>
          <w:sz w:val="21"/>
        </w:rPr>
        <w:t>[47] Creswell J W, Creswell J D. Research design: qualitative, quantitative, and mixed methods approaches[M]. 5th ed. Thousand Oaks: Sage Publications, 2018.</w:t>
      </w:r>
    </w:p>
    <w:p>
      <w:pPr>
        <w:spacing w:line="360" w:lineRule="exact" w:before="0" w:after="40"/>
      </w:pPr>
      <w:r>
        <w:rPr>
          <w:rFonts w:ascii="Times New Roman" w:hAnsi="Times New Roman" w:eastAsia="SimSun"/>
          <w:b w:val="0"/>
          <w:i w:val="0"/>
          <w:sz w:val="21"/>
        </w:rPr>
        <w:t>[48] Yin R K. Case study research and applications: design and methods[M]. 6th ed. Thousand Oaks: Sage Publications, 2018.</w:t>
      </w:r>
    </w:p>
    <w:p>
      <w:pPr>
        <w:spacing w:line="360" w:lineRule="exact" w:before="0" w:after="40"/>
      </w:pPr>
      <w:r>
        <w:rPr>
          <w:rFonts w:ascii="Times New Roman" w:hAnsi="Times New Roman" w:eastAsia="SimSun"/>
          <w:b w:val="0"/>
          <w:i w:val="0"/>
          <w:sz w:val="21"/>
        </w:rPr>
        <w:t>[49] George A L, Bennett A. Case studies and theory development in the social sciences[M]. Cambridge: MIT Press, 2005.</w:t>
      </w:r>
    </w:p>
    <w:p>
      <w:pPr>
        <w:spacing w:line="360" w:lineRule="exact" w:before="0" w:after="40"/>
      </w:pPr>
      <w:r>
        <w:rPr>
          <w:rFonts w:ascii="Times New Roman" w:hAnsi="Times New Roman" w:eastAsia="SimSun"/>
          <w:b w:val="0"/>
          <w:i w:val="0"/>
          <w:sz w:val="21"/>
        </w:rPr>
        <w:t>[50] 陈瑞华. 程序正义理论[M]. 北京: 中国法制出版社, 2010.</w:t>
      </w:r>
    </w:p>
    <w:p>
      <w:pPr>
        <w:spacing w:line="360" w:lineRule="exact" w:before="0" w:after="40"/>
      </w:pPr>
      <w:r>
        <w:rPr>
          <w:rFonts w:ascii="Times New Roman" w:hAnsi="Times New Roman" w:eastAsia="SimSun"/>
          <w:b w:val="0"/>
          <w:i w:val="0"/>
          <w:sz w:val="21"/>
        </w:rPr>
        <w:t>[51] 黄璜. 数字政府：概念、框架与路径[J]. 中国行政管理, 2020(10): 6-13.</w:t>
      </w:r>
    </w:p>
    <w:p>
      <w:pPr>
        <w:spacing w:line="360" w:lineRule="exact" w:before="0" w:after="40"/>
      </w:pPr>
      <w:r>
        <w:rPr>
          <w:rFonts w:ascii="Times New Roman" w:hAnsi="Times New Roman" w:eastAsia="SimSun"/>
          <w:b w:val="0"/>
          <w:i w:val="0"/>
          <w:sz w:val="21"/>
        </w:rPr>
        <w:t>[52] 国务院. 政务信息资源共享管理暂行办法[Z]. 北京: 国务院, 2016.</w:t>
      </w:r>
    </w:p>
    <w:p>
      <w:pPr>
        <w:spacing w:line="360" w:lineRule="exact" w:before="0" w:after="40"/>
      </w:pPr>
      <w:r>
        <w:rPr>
          <w:rFonts w:ascii="Times New Roman" w:hAnsi="Times New Roman" w:eastAsia="SimSun"/>
          <w:b w:val="0"/>
          <w:i w:val="0"/>
          <w:sz w:val="21"/>
        </w:rPr>
        <w:t>[53] 王长胜. 中国电子政务发展报告（2021）[M]. 北京: 社会科学文献出版社, 2021.</w:t>
      </w:r>
    </w:p>
    <w:p>
      <w:pPr>
        <w:spacing w:line="360" w:lineRule="exact" w:before="0" w:after="40"/>
      </w:pPr>
      <w:r>
        <w:rPr>
          <w:rFonts w:ascii="Times New Roman" w:hAnsi="Times New Roman" w:eastAsia="SimSun"/>
          <w:b w:val="0"/>
          <w:i w:val="0"/>
          <w:sz w:val="21"/>
        </w:rPr>
        <w:t>[54] DAMA International. DAMA-DMBOK: Data management body of knowledge[M]. 2nd ed. Bradley Beach: Technics Publications, 2017.</w:t>
      </w:r>
    </w:p>
    <w:p>
      <w:pPr>
        <w:spacing w:line="360" w:lineRule="exact" w:before="0" w:after="40"/>
      </w:pPr>
      <w:r>
        <w:rPr>
          <w:rFonts w:ascii="Times New Roman" w:hAnsi="Times New Roman" w:eastAsia="SimSun"/>
          <w:b w:val="0"/>
          <w:i w:val="0"/>
          <w:sz w:val="21"/>
        </w:rPr>
        <w:t>[55] 孟天广, 赵娟. 大数据时代的政府数据治理：挑战与对策[J]. 政治学研究, 2019(3): 22-35.</w:t>
      </w:r>
    </w:p>
    <w:p>
      <w:pPr>
        <w:spacing w:line="360" w:lineRule="exact" w:before="0" w:after="40"/>
      </w:pPr>
      <w:r>
        <w:rPr>
          <w:rFonts w:ascii="Times New Roman" w:hAnsi="Times New Roman" w:eastAsia="SimSun"/>
          <w:b w:val="0"/>
          <w:i w:val="0"/>
          <w:sz w:val="21"/>
        </w:rPr>
        <w:t>[56] Perri 6. Holistic governance and the resolution of policy problems[J]. Public Policy and Administration, 2002, 17(3): 34-52.</w:t>
      </w:r>
    </w:p>
    <w:p>
      <w:pPr>
        <w:spacing w:line="360" w:lineRule="exact" w:before="0" w:after="40"/>
      </w:pPr>
      <w:r>
        <w:rPr>
          <w:rFonts w:ascii="Times New Roman" w:hAnsi="Times New Roman" w:eastAsia="SimSun"/>
          <w:b w:val="0"/>
          <w:i w:val="0"/>
          <w:sz w:val="21"/>
        </w:rPr>
        <w:t>[57] Dunleavy P, Margetts H. Second generation e-government: The rise of new public management?[J]. Public Administration, 2005, 83(3): 467-494.</w:t>
      </w:r>
    </w:p>
    <w:p>
      <w:pPr>
        <w:spacing w:line="360" w:lineRule="exact" w:before="0" w:after="40"/>
      </w:pPr>
      <w:r>
        <w:rPr>
          <w:rFonts w:ascii="Times New Roman" w:hAnsi="Times New Roman" w:eastAsia="SimSun"/>
          <w:b w:val="0"/>
          <w:i w:val="0"/>
          <w:sz w:val="21"/>
        </w:rPr>
        <w:t>[58] 竺乾威. 从新公共管理到整体性治理[J]. 中国行政管理, 2008(8): 52-58.</w:t>
      </w:r>
    </w:p>
    <w:p>
      <w:pPr>
        <w:spacing w:line="360" w:lineRule="exact" w:before="0" w:after="40"/>
      </w:pPr>
      <w:r>
        <w:rPr>
          <w:rFonts w:ascii="Times New Roman" w:hAnsi="Times New Roman" w:eastAsia="SimSun"/>
          <w:b w:val="0"/>
          <w:i w:val="0"/>
          <w:sz w:val="21"/>
        </w:rPr>
        <w:t>[59] ISO/IEC 20547-4:2020. Information technology — Big data reference architecture — Part 4: Security and privacy[S]. Geneva: ISO, 2020.</w:t>
      </w:r>
    </w:p>
    <w:p>
      <w:pPr>
        <w:spacing w:line="360" w:lineRule="exact" w:before="0" w:after="40"/>
      </w:pPr>
      <w:r>
        <w:rPr>
          <w:rFonts w:ascii="Times New Roman" w:hAnsi="Times New Roman" w:eastAsia="SimSun"/>
          <w:b w:val="0"/>
          <w:i w:val="0"/>
          <w:sz w:val="21"/>
        </w:rPr>
        <w:t>[60] 冯惠玲, 张辑哲. 档案学概论[M]. 北京: 中国人民大学出版社, 2018.</w:t>
      </w:r>
    </w:p>
    <w:p>
      <w:pPr>
        <w:spacing w:line="360" w:lineRule="exact" w:before="0" w:after="40"/>
      </w:pPr>
      <w:r>
        <w:rPr>
          <w:rFonts w:ascii="Times New Roman" w:hAnsi="Times New Roman" w:eastAsia="SimSun"/>
          <w:b w:val="0"/>
          <w:i w:val="0"/>
          <w:sz w:val="21"/>
        </w:rPr>
        <w:t>[61] 安小米, 张静. 基于数据生命周期的政府数据治理框架研究[J]. 图书情报工作, 2021, 65(12): 10-19.</w:t>
      </w:r>
    </w:p>
    <w:p>
      <w:pPr>
        <w:spacing w:line="360" w:lineRule="exact" w:before="0" w:after="40"/>
      </w:pPr>
      <w:r>
        <w:rPr>
          <w:rFonts w:ascii="Times New Roman" w:hAnsi="Times New Roman" w:eastAsia="SimSun"/>
          <w:b w:val="0"/>
          <w:i w:val="0"/>
          <w:sz w:val="21"/>
        </w:rPr>
        <w:t>[62] Freeman R E. Strategic management: A stakeholder approach[M]. Cambridge: Cambridge University Press, 2010.</w:t>
      </w:r>
    </w:p>
    <w:p>
      <w:pPr>
        <w:spacing w:line="360" w:lineRule="exact" w:before="0" w:after="40"/>
      </w:pPr>
      <w:r>
        <w:rPr>
          <w:rFonts w:ascii="Times New Roman" w:hAnsi="Times New Roman" w:eastAsia="SimSun"/>
          <w:b w:val="0"/>
          <w:i w:val="0"/>
          <w:sz w:val="21"/>
        </w:rPr>
        <w:t>[63] 马亮. 数据治理与数字政府建设：逻辑、困境与路径[J]. 行政论坛, 2022, 29(2): 5-14.</w:t>
      </w:r>
    </w:p>
    <w:p>
      <w:pPr>
        <w:spacing w:line="360" w:lineRule="exact" w:before="0" w:after="40"/>
      </w:pPr>
      <w:r>
        <w:rPr>
          <w:rFonts w:ascii="Times New Roman" w:hAnsi="Times New Roman" w:eastAsia="SimSun"/>
          <w:b w:val="0"/>
          <w:i w:val="0"/>
          <w:sz w:val="21"/>
        </w:rPr>
        <w:t>[64] 杨道玲, 王京. 政府数据开放平台的技术架构与功能优化[J]. 情报杂志, 2020, 39(5): 180-186.</w:t>
      </w:r>
    </w:p>
    <w:p>
      <w:pPr>
        <w:spacing w:line="360" w:lineRule="exact" w:before="0" w:after="40"/>
      </w:pPr>
      <w:r>
        <w:rPr>
          <w:rFonts w:ascii="Times New Roman" w:hAnsi="Times New Roman" w:eastAsia="SimSun"/>
          <w:b w:val="0"/>
          <w:i w:val="0"/>
          <w:sz w:val="21"/>
        </w:rPr>
        <w:t>[65] 陈振明, 李德国. 整体性治理：政府改革的新趋势[J]. 天津行政学院学报, 2008, 10(2): 5-9.</w:t>
      </w:r>
    </w:p>
    <w:p>
      <w:pPr>
        <w:spacing w:line="360" w:lineRule="exact" w:before="0" w:after="40"/>
      </w:pPr>
      <w:r>
        <w:rPr>
          <w:rFonts w:ascii="Times New Roman" w:hAnsi="Times New Roman" w:eastAsia="SimSun"/>
          <w:b w:val="0"/>
          <w:i w:val="0"/>
          <w:sz w:val="21"/>
        </w:rPr>
        <w:t>[66] 王长胜. 中国电子政务发展报告[M]. 北京: 社会科学文献出版社, 2015.</w:t>
      </w:r>
    </w:p>
    <w:p>
      <w:pPr>
        <w:spacing w:line="360" w:lineRule="exact" w:before="0" w:after="40"/>
      </w:pPr>
      <w:r>
        <w:rPr>
          <w:rFonts w:ascii="Times New Roman" w:hAnsi="Times New Roman" w:eastAsia="SimSun"/>
          <w:b w:val="0"/>
          <w:i w:val="0"/>
          <w:sz w:val="21"/>
        </w:rPr>
        <w:t>[67] 国务院办公厅. 政务信息资源共享管理暂行办法[Z]. 2016.</w:t>
      </w:r>
    </w:p>
    <w:p>
      <w:pPr>
        <w:spacing w:line="360" w:lineRule="exact" w:before="0" w:after="40"/>
      </w:pPr>
      <w:r>
        <w:rPr>
          <w:rFonts w:ascii="Times New Roman" w:hAnsi="Times New Roman" w:eastAsia="SimSun"/>
          <w:b w:val="0"/>
          <w:i w:val="0"/>
          <w:sz w:val="21"/>
        </w:rPr>
        <w:t>[68] 中共中央, 国务院. 关于构建数据基础制度更好发挥数据要素作用的意见[Z]. 2022.</w:t>
      </w:r>
    </w:p>
    <w:p>
      <w:pPr>
        <w:spacing w:line="360" w:lineRule="exact" w:before="0" w:after="40"/>
      </w:pPr>
      <w:r>
        <w:rPr>
          <w:rFonts w:ascii="Times New Roman" w:hAnsi="Times New Roman" w:eastAsia="SimSun"/>
          <w:b w:val="0"/>
          <w:i w:val="0"/>
          <w:sz w:val="21"/>
        </w:rPr>
        <w:t>[69] 黄奇帆. 数字政府建设与数据要素市场化[J]. 管理世界, 2023(3): 1-10.</w:t>
      </w:r>
    </w:p>
    <w:p>
      <w:pPr>
        <w:spacing w:line="360" w:lineRule="exact" w:before="0" w:after="40"/>
      </w:pPr>
      <w:r>
        <w:rPr>
          <w:rFonts w:ascii="Times New Roman" w:hAnsi="Times New Roman" w:eastAsia="SimSun"/>
          <w:b w:val="0"/>
          <w:i w:val="0"/>
          <w:sz w:val="21"/>
        </w:rPr>
        <w:t>[70] 陈振明, 李德国. 整体性治理视角下的数字政府建设[J]. 政治学研究, 2021(4): 45-56.</w:t>
      </w:r>
    </w:p>
    <w:p>
      <w:pPr>
        <w:spacing w:line="360" w:lineRule="exact" w:before="0" w:after="40"/>
      </w:pPr>
      <w:r>
        <w:rPr>
          <w:rFonts w:ascii="Times New Roman" w:hAnsi="Times New Roman" w:eastAsia="SimSun"/>
          <w:b w:val="0"/>
          <w:i w:val="0"/>
          <w:sz w:val="21"/>
        </w:rPr>
        <w:t>[71] 复旦大学数字与移动治理实验室. 中国地方政府数据开放报告[R]. 上海: 复旦大学出版社, 2023.</w:t>
      </w:r>
    </w:p>
    <w:p>
      <w:pPr>
        <w:spacing w:line="360" w:lineRule="exact" w:before="0" w:after="40"/>
      </w:pPr>
      <w:r>
        <w:rPr>
          <w:rFonts w:ascii="Times New Roman" w:hAnsi="Times New Roman" w:eastAsia="SimSun"/>
          <w:b w:val="0"/>
          <w:i w:val="0"/>
          <w:sz w:val="21"/>
        </w:rPr>
        <w:t>[72] 孟天广, 杨开峰. 数据治理中的部门博弈与协同机制[J]. 公共管理学报, 2020, 17(2): 12-23.</w:t>
      </w:r>
    </w:p>
    <w:p>
      <w:pPr>
        <w:spacing w:line="360" w:lineRule="exact" w:before="0" w:after="40"/>
      </w:pPr>
      <w:r>
        <w:rPr>
          <w:rFonts w:ascii="Times New Roman" w:hAnsi="Times New Roman" w:eastAsia="SimSun"/>
          <w:b w:val="0"/>
          <w:i w:val="0"/>
          <w:sz w:val="21"/>
        </w:rPr>
        <w:t>[73] 郑磊, 高丰. 政府数据开放共享的标准体系构建研究[J]. 图书情报工作, 2019, 63(15): 5-14.</w:t>
      </w:r>
    </w:p>
    <w:p>
      <w:pPr>
        <w:spacing w:line="360" w:lineRule="exact" w:before="0" w:after="40"/>
      </w:pPr>
      <w:r>
        <w:rPr>
          <w:rFonts w:ascii="Times New Roman" w:hAnsi="Times New Roman" w:eastAsia="SimSun"/>
          <w:b w:val="0"/>
          <w:i w:val="0"/>
          <w:sz w:val="21"/>
        </w:rPr>
        <w:t>[74] 汤志伟, 郭雨晖. 我国政府数据开放平台的现状、问题与对策[J]. 电子政务, 2021(8): 22-31.</w:t>
      </w:r>
    </w:p>
    <w:p>
      <w:pPr>
        <w:spacing w:line="360" w:lineRule="exact" w:before="0" w:after="40"/>
      </w:pPr>
      <w:r>
        <w:rPr>
          <w:rFonts w:ascii="Times New Roman" w:hAnsi="Times New Roman" w:eastAsia="SimSun"/>
          <w:b w:val="0"/>
          <w:i w:val="0"/>
          <w:sz w:val="21"/>
        </w:rPr>
        <w:t>[75] 联合国经济和社会事务部. 联合国电子政务调查报告[R]. 纽约: 联合国出版部, 2022.</w:t>
      </w:r>
    </w:p>
    <w:p>
      <w:pPr>
        <w:spacing w:line="360" w:lineRule="exact" w:before="0" w:after="40"/>
      </w:pPr>
      <w:r>
        <w:rPr>
          <w:rFonts w:ascii="Times New Roman" w:hAnsi="Times New Roman" w:eastAsia="SimSun"/>
          <w:b w:val="0"/>
          <w:i w:val="0"/>
          <w:sz w:val="21"/>
        </w:rPr>
        <w:t>[76] 冯登国, 张敏, 张妍. 大数据安全与隐私保护[J]. 计算机学报, 2021, 44(1): 1-20.</w:t>
      </w:r>
    </w:p>
    <w:p>
      <w:pPr>
        <w:spacing w:line="360" w:lineRule="exact" w:before="0" w:after="40"/>
      </w:pPr>
      <w:r>
        <w:rPr>
          <w:rFonts w:ascii="Times New Roman" w:hAnsi="Times New Roman" w:eastAsia="SimSun"/>
          <w:b w:val="0"/>
          <w:i w:val="0"/>
          <w:sz w:val="21"/>
        </w:rPr>
        <w:t>[77] 杨强, 等. 联邦学习实战[M]. 北京: 电子工业出版社, 2020.</w:t>
      </w:r>
    </w:p>
    <w:p>
      <w:pPr>
        <w:spacing w:line="360" w:lineRule="exact" w:before="0" w:after="40"/>
      </w:pPr>
      <w:r>
        <w:rPr>
          <w:rFonts w:ascii="Times New Roman" w:hAnsi="Times New Roman" w:eastAsia="SimSun"/>
          <w:b w:val="0"/>
          <w:i w:val="0"/>
          <w:sz w:val="21"/>
        </w:rPr>
        <w:t>[78] 程啸. 个人信息保护法理解与适用[M]. 北京: 中国法制出版社, 2021.</w:t>
      </w:r>
    </w:p>
    <w:p>
      <w:pPr>
        <w:spacing w:line="360" w:lineRule="exact" w:before="0" w:after="40"/>
      </w:pPr>
      <w:r>
        <w:rPr>
          <w:rFonts w:ascii="Times New Roman" w:hAnsi="Times New Roman" w:eastAsia="SimSun"/>
          <w:b w:val="0"/>
          <w:i w:val="0"/>
          <w:sz w:val="21"/>
        </w:rPr>
        <w:t>[79] 很多, 刘金瑞. 数据出境安全评估制度的构建与完善[J]. 法学杂志, 2023(2): 56-68.</w:t>
      </w:r>
    </w:p>
    <w:p>
      <w:pPr>
        <w:spacing w:line="360" w:lineRule="exact" w:before="0" w:after="40"/>
      </w:pPr>
      <w:r>
        <w:rPr>
          <w:rFonts w:ascii="Times New Roman" w:hAnsi="Times New Roman" w:eastAsia="SimSun"/>
          <w:b w:val="0"/>
          <w:i w:val="0"/>
          <w:sz w:val="21"/>
        </w:rPr>
        <w:t>[80] 周文彰. 数字政府与国家治理现代化[J]. 行政管理改革, 2020(12): 4-11.</w:t>
      </w:r>
    </w:p>
    <w:p>
      <w:pPr>
        <w:spacing w:line="360" w:lineRule="exact" w:before="0" w:after="40"/>
      </w:pPr>
      <w:r>
        <w:rPr>
          <w:rFonts w:ascii="Times New Roman" w:hAnsi="Times New Roman" w:eastAsia="SimSun"/>
          <w:b w:val="0"/>
          <w:i w:val="0"/>
          <w:sz w:val="21"/>
        </w:rPr>
        <w:t>[81] 朱春奎, 吴贵峰. 大数据管理局的职能定位与运行机制研究[J]. 中国行政管理, 2022(5): 34-41.</w:t>
      </w:r>
    </w:p>
    <w:p>
      <w:pPr>
        <w:spacing w:line="360" w:lineRule="exact" w:before="0" w:after="40"/>
      </w:pPr>
      <w:r>
        <w:rPr>
          <w:rFonts w:ascii="Times New Roman" w:hAnsi="Times New Roman" w:eastAsia="SimSun"/>
          <w:b w:val="0"/>
          <w:i w:val="0"/>
          <w:sz w:val="21"/>
        </w:rPr>
        <w:t>[82] 徐晓林, 杨兰. 数字政府绩效评价的指标体系构建[J]. 统计与决策, 2021(18): 45-49.</w:t>
      </w:r>
    </w:p>
    <w:p>
      <w:pPr>
        <w:spacing w:line="360" w:lineRule="exact" w:before="0" w:after="40"/>
      </w:pPr>
      <w:r>
        <w:rPr>
          <w:rFonts w:ascii="Times New Roman" w:hAnsi="Times New Roman" w:eastAsia="SimSun"/>
          <w:b w:val="0"/>
          <w:i w:val="0"/>
          <w:sz w:val="21"/>
        </w:rPr>
        <w:t>[83] 赵国栋, 等. 数字政府人才体系建设研究[J]. 国家行政学院学报, 2022(3): 78-85.</w:t>
      </w:r>
    </w:p>
    <w:p>
      <w:pPr>
        <w:spacing w:line="360" w:lineRule="exact" w:before="0" w:after="40"/>
      </w:pPr>
      <w:r>
        <w:rPr>
          <w:rFonts w:ascii="Times New Roman" w:hAnsi="Times New Roman" w:eastAsia="SimSun"/>
          <w:b w:val="0"/>
          <w:i w:val="0"/>
          <w:sz w:val="21"/>
        </w:rPr>
        <w:t>[84] Olsen J P. The many faces of integration[J]. Journal of European Public Policy, 2019, 26(10): 1528-1546.</w:t>
      </w:r>
    </w:p>
    <w:p>
      <w:pPr>
        <w:spacing w:line="360" w:lineRule="exact" w:before="0" w:after="40"/>
      </w:pPr>
      <w:r>
        <w:rPr>
          <w:rFonts w:ascii="Times New Roman" w:hAnsi="Times New Roman" w:eastAsia="SimSun"/>
          <w:b w:val="0"/>
          <w:i w:val="0"/>
          <w:sz w:val="21"/>
        </w:rPr>
        <w:t>[85] 孟天广, 赵娟. 数字政府治理的逻辑与路径[J]. 政治学研究, 2022(3): 12-23.</w:t>
      </w:r>
    </w:p>
    <w:p>
      <w:pPr>
        <w:spacing w:line="360" w:lineRule="exact" w:before="0" w:after="40"/>
      </w:pPr>
      <w:r>
        <w:rPr>
          <w:rFonts w:ascii="Times New Roman" w:hAnsi="Times New Roman" w:eastAsia="SimSun"/>
          <w:b w:val="0"/>
          <w:i w:val="0"/>
          <w:sz w:val="21"/>
        </w:rPr>
        <w:t>[86] 黄璜. 中国数字政府建设的政策演进与逻辑变迁[J]. 行政论坛, 2021, 28(4): 5-14.</w:t>
      </w:r>
    </w:p>
    <w:p>
      <w:pPr>
        <w:spacing w:line="360" w:lineRule="exact" w:before="0" w:after="40"/>
      </w:pPr>
      <w:r>
        <w:rPr>
          <w:rFonts w:ascii="Times New Roman" w:hAnsi="Times New Roman" w:eastAsia="SimSun"/>
          <w:b w:val="0"/>
          <w:i w:val="0"/>
          <w:sz w:val="21"/>
        </w:rPr>
        <w:t>[87] Kahneman D, Tversky A. Prospect theory: an analysis of decision under risk[J]. Econometrica, 1979, 47(2): 263-291.</w:t>
      </w:r>
    </w:p>
    <w:p>
      <w:pPr>
        <w:spacing w:line="360" w:lineRule="exact" w:before="0" w:after="40"/>
      </w:pPr>
      <w:r>
        <w:rPr>
          <w:rFonts w:ascii="Times New Roman" w:hAnsi="Times New Roman" w:eastAsia="SimSun"/>
          <w:b w:val="0"/>
          <w:i w:val="0"/>
          <w:sz w:val="21"/>
        </w:rPr>
        <w:t>[88] 王绍光, 胡鞍钢. 中国国家能力报告[M]. 沈阳: 辽宁人民出版社, 1993.</w:t>
      </w:r>
    </w:p>
    <w:p>
      <w:pPr>
        <w:spacing w:line="360" w:lineRule="exact" w:before="0" w:after="40"/>
      </w:pPr>
      <w:r>
        <w:rPr>
          <w:rFonts w:ascii="Times New Roman" w:hAnsi="Times New Roman" w:eastAsia="SimSun"/>
          <w:b w:val="0"/>
          <w:i w:val="0"/>
          <w:sz w:val="21"/>
        </w:rPr>
        <w:t>[89] 周汉华. 个人信息保护的法律体系建构[J]. 法学研究, 2020, 42(2): 1-19.</w:t>
      </w:r>
    </w:p>
    <w:p>
      <w:pPr>
        <w:spacing w:line="360" w:lineRule="exact" w:before="0" w:after="40"/>
      </w:pPr>
      <w:r>
        <w:rPr>
          <w:rFonts w:ascii="Times New Roman" w:hAnsi="Times New Roman" w:eastAsia="SimSun"/>
          <w:b w:val="0"/>
          <w:i w:val="0"/>
          <w:sz w:val="21"/>
        </w:rPr>
        <w:t>[90] 程啸. 论大数据时代的个人数据权利[J]. 中国社会科学, 2018(3): 102-122.</w:t>
      </w:r>
    </w:p>
    <w:p>
      <w:pPr>
        <w:spacing w:line="360" w:lineRule="exact" w:before="0" w:after="40"/>
      </w:pPr>
      <w:r>
        <w:rPr>
          <w:rFonts w:ascii="Times New Roman" w:hAnsi="Times New Roman" w:eastAsia="SimSun"/>
          <w:b w:val="0"/>
          <w:i w:val="0"/>
          <w:sz w:val="21"/>
        </w:rPr>
        <w:t>[91] 冯登国, 张敏, 李昊. 大数据安全与隐私保护[J]. 计算机学报, 2014, 37(1): 246-258.</w:t>
      </w:r>
    </w:p>
    <w:p>
      <w:pPr>
        <w:spacing w:line="360" w:lineRule="exact" w:before="0" w:after="40"/>
      </w:pPr>
      <w:r>
        <w:rPr>
          <w:rFonts w:ascii="Times New Roman" w:hAnsi="Times New Roman" w:eastAsia="SimSun"/>
          <w:b w:val="0"/>
          <w:i w:val="0"/>
          <w:sz w:val="21"/>
        </w:rPr>
        <w:t>[92] 马长山. 智慧司法背景下司法数据治理的法律规制[J]. 法制与社会发展, 2021, 27(5): 88-102.</w:t>
      </w:r>
    </w:p>
    <w:p>
      <w:pPr>
        <w:spacing w:line="360" w:lineRule="exact" w:before="0" w:after="40"/>
      </w:pPr>
      <w:r>
        <w:rPr>
          <w:rFonts w:ascii="Times New Roman" w:hAnsi="Times New Roman" w:eastAsia="SimSun"/>
          <w:b w:val="0"/>
          <w:i w:val="0"/>
          <w:sz w:val="21"/>
        </w:rPr>
        <w:t>[93] 杨东. 论数据产权制度的构建[J]. 清华法学, 2020, 14(6): 6-22.</w:t>
      </w:r>
    </w:p>
    <w:p>
      <w:pPr>
        <w:spacing w:line="360" w:lineRule="exact" w:before="0" w:after="40"/>
      </w:pPr>
      <w:r>
        <w:rPr>
          <w:rFonts w:ascii="Times New Roman" w:hAnsi="Times New Roman" w:eastAsia="SimSun"/>
          <w:b w:val="0"/>
          <w:i w:val="0"/>
          <w:sz w:val="21"/>
        </w:rPr>
        <w:t>[94] 陈振明. 数字政府治理的内涵、特征与路径[J]. 中国行政管理, 2020(10): 6-12.</w:t>
      </w:r>
    </w:p>
    <w:p>
      <w:pPr>
        <w:spacing w:line="360" w:lineRule="exact" w:before="0" w:after="40"/>
      </w:pPr>
      <w:r>
        <w:rPr>
          <w:rFonts w:ascii="Times New Roman" w:hAnsi="Times New Roman" w:eastAsia="SimSun"/>
          <w:b w:val="0"/>
          <w:i w:val="0"/>
          <w:sz w:val="21"/>
        </w:rPr>
        <w:t>[95] Wang R Y, Strong D M. Beyond accuracy: what data quality means to data consumers[J]. Journal of Management Information Systems, 1996, 12(4): 5-33.</w:t>
      </w:r>
    </w:p>
    <w:p>
      <w:pPr>
        <w:spacing w:line="360" w:lineRule="exact" w:before="0" w:after="40"/>
      </w:pPr>
      <w:r>
        <w:rPr>
          <w:rFonts w:ascii="Times New Roman" w:hAnsi="Times New Roman" w:eastAsia="SimSun"/>
          <w:b w:val="0"/>
          <w:i w:val="0"/>
          <w:sz w:val="21"/>
        </w:rPr>
        <w:t>[96] 腾讯研究院. 数字中国指数报告(2023)[R]. 深圳: 腾讯研究院, 2023.</w:t>
      </w:r>
    </w:p>
    <w:p>
      <w:pPr>
        <w:spacing w:line="360" w:lineRule="exact" w:before="0" w:after="40"/>
      </w:pPr>
      <w:r>
        <w:rPr>
          <w:rFonts w:ascii="Times New Roman" w:hAnsi="Times New Roman" w:eastAsia="SimSun"/>
          <w:b w:val="0"/>
          <w:i w:val="0"/>
          <w:sz w:val="21"/>
        </w:rPr>
        <w:t>[97] 竺乾威. 公共行政学[M]. 上海: 复旦大学出版社, 2018.</w:t>
      </w:r>
    </w:p>
    <w:p>
      <w:pPr>
        <w:spacing w:line="360" w:lineRule="exact" w:before="0" w:after="40"/>
      </w:pPr>
      <w:r>
        <w:rPr>
          <w:rFonts w:ascii="Times New Roman" w:hAnsi="Times New Roman" w:eastAsia="SimSun"/>
          <w:b w:val="0"/>
          <w:i w:val="0"/>
          <w:sz w:val="21"/>
        </w:rPr>
        <w:t>[98] 郁建兴, 黄飚. 整体性治理视角下的数字政府建设[J]. 治理研究, 2021, 37(2): 5-13.</w:t>
      </w:r>
    </w:p>
    <w:p>
      <w:pPr>
        <w:spacing w:line="360" w:lineRule="exact" w:before="0" w:after="40"/>
      </w:pPr>
      <w:r>
        <w:rPr>
          <w:rFonts w:ascii="Times New Roman" w:hAnsi="Times New Roman" w:eastAsia="SimSun"/>
          <w:b w:val="0"/>
          <w:i w:val="0"/>
          <w:sz w:val="21"/>
        </w:rPr>
        <w:t>[99] 沈费伟, 叶紫涵. 数字政府建设中的人才困境及其破解[J]. 电子政务, 2022(8): 2-11.</w:t>
      </w:r>
    </w:p>
    <w:p>
      <w:pPr>
        <w:spacing w:line="360" w:lineRule="exact" w:before="0" w:after="40"/>
      </w:pPr>
      <w:r>
        <w:rPr>
          <w:rFonts w:ascii="Times New Roman" w:hAnsi="Times New Roman" w:eastAsia="SimSun"/>
          <w:b w:val="0"/>
          <w:i w:val="0"/>
          <w:sz w:val="21"/>
        </w:rPr>
        <w:t>[100] Mergel I, Rethemeyer R K, Andersen V. E-government research: reviewing the literature and a roadmap for future research[J]. Public Administration Review, 2019, 79(4): 550-563.</w:t>
      </w:r>
    </w:p>
    <w:p>
      <w:pPr>
        <w:spacing w:line="360" w:lineRule="exact" w:before="0" w:after="40"/>
      </w:pPr>
      <w:r>
        <w:rPr>
          <w:rFonts w:ascii="Times New Roman" w:hAnsi="Times New Roman" w:eastAsia="SimSun"/>
          <w:b w:val="0"/>
          <w:i w:val="0"/>
          <w:sz w:val="21"/>
        </w:rPr>
        <w:t>[101] The White House. Executive order on making open and machine readable the new default for government information[R]. Washington D.C.: The White House, 2013.</w:t>
      </w:r>
    </w:p>
    <w:p>
      <w:pPr>
        <w:spacing w:line="360" w:lineRule="exact" w:before="0" w:after="40"/>
      </w:pPr>
      <w:r>
        <w:rPr>
          <w:rFonts w:ascii="Times New Roman" w:hAnsi="Times New Roman" w:eastAsia="SimSun"/>
          <w:b w:val="0"/>
          <w:i w:val="0"/>
          <w:sz w:val="21"/>
        </w:rPr>
        <w:t>[102] European Parliament. Regulation (EU) 2016/679 on the protection of natural persons with regard to the processing of personal data and on the free movement of such data[J]. Official Journal of the European Union, 2016, L119: 1-88.</w:t>
      </w:r>
    </w:p>
    <w:p>
      <w:pPr>
        <w:spacing w:line="360" w:lineRule="exact" w:before="0" w:after="40"/>
      </w:pPr>
      <w:r>
        <w:rPr>
          <w:rFonts w:ascii="Times New Roman" w:hAnsi="Times New Roman" w:eastAsia="SimSun"/>
          <w:b w:val="0"/>
          <w:i w:val="0"/>
          <w:sz w:val="21"/>
        </w:rPr>
        <w:t>[103] Kotka T. X-Road: the backbone of Estonia's digital society[M]. Tallinn: Estonian Information System Authority, 2018.</w:t>
      </w:r>
    </w:p>
    <w:p>
      <w:pPr>
        <w:spacing w:line="360" w:lineRule="exact" w:before="0" w:after="40"/>
      </w:pPr>
      <w:r>
        <w:rPr>
          <w:rFonts w:ascii="Times New Roman" w:hAnsi="Times New Roman" w:eastAsia="SimSun"/>
          <w:b w:val="0"/>
          <w:i w:val="0"/>
          <w:sz w:val="21"/>
        </w:rPr>
        <w:t>[104] Lember V, Kattel R, Tonurist P. Technological innovation or administrative reform? The case of e-Estonia[J]. International Review of Administrative Sciences, 2021, 87(2): 345-362.</w:t>
      </w:r>
    </w:p>
    <w:p>
      <w:pPr>
        <w:spacing w:line="360" w:lineRule="exact" w:before="0" w:after="40"/>
      </w:pPr>
      <w:r>
        <w:rPr>
          <w:rFonts w:ascii="Times New Roman" w:hAnsi="Times New Roman" w:eastAsia="SimSun"/>
          <w:b w:val="0"/>
          <w:i w:val="0"/>
          <w:sz w:val="21"/>
        </w:rPr>
        <w:t>[105] 郁建兴, 黄亮. 数字时代的地方政府改革：浙江“最多跑一次”的经验与启示[J]. 中国行政管理, 2019(3): 22-27.</w:t>
      </w:r>
    </w:p>
    <w:p>
      <w:pPr>
        <w:spacing w:line="360" w:lineRule="exact" w:before="0" w:after="40"/>
      </w:pPr>
      <w:r>
        <w:rPr>
          <w:rFonts w:ascii="Times New Roman" w:hAnsi="Times New Roman" w:eastAsia="SimSun"/>
          <w:b w:val="0"/>
          <w:i w:val="0"/>
          <w:sz w:val="21"/>
        </w:rPr>
        <w:t>[106] 孟天广, 杨开峰. 数字政府治理的结构与机制：基于浙江实践的案例分析[J]. 治理研究, 2021, 37(5): 15-24.</w:t>
      </w:r>
    </w:p>
    <w:p>
      <w:pPr>
        <w:spacing w:line="360" w:lineRule="exact" w:before="0" w:after="40"/>
      </w:pPr>
      <w:r>
        <w:rPr>
          <w:rFonts w:ascii="Times New Roman" w:hAnsi="Times New Roman" w:eastAsia="SimSun"/>
          <w:b w:val="0"/>
          <w:i w:val="0"/>
          <w:sz w:val="21"/>
        </w:rPr>
        <w:t>[107] 陈振明, 薛澜. 中国数字政府建设的现状、问题与对策[J]. 政治学研究, 2022(2): 3-15.</w:t>
      </w:r>
    </w:p>
    <w:p>
      <w:pPr>
        <w:spacing w:line="360" w:lineRule="exact" w:before="0" w:after="40"/>
      </w:pPr>
      <w:r>
        <w:rPr>
          <w:rFonts w:ascii="Times New Roman" w:hAnsi="Times New Roman" w:eastAsia="SimSun"/>
          <w:b w:val="0"/>
          <w:i w:val="0"/>
          <w:sz w:val="21"/>
        </w:rPr>
        <w:t>[108] 贵州省人大常委会. 贵州省大数据发展应用条例[Z]. 贵阳: 贵州省人民出版社, 2016.</w:t>
      </w:r>
    </w:p>
    <w:p>
      <w:pPr>
        <w:spacing w:line="360" w:lineRule="exact" w:before="0" w:after="40"/>
      </w:pPr>
      <w:r>
        <w:rPr>
          <w:rFonts w:ascii="Times New Roman" w:hAnsi="Times New Roman" w:eastAsia="SimSun"/>
          <w:b w:val="0"/>
          <w:i w:val="0"/>
          <w:sz w:val="21"/>
        </w:rPr>
        <w:t>[109] Dunleavy P, Margetts H. The second wave of digital-era governance: a quasi-paradigm for government on the web[J]. American Political Science Review, 2010, 104(2): 381-396.</w:t>
      </w:r>
    </w:p>
    <w:p>
      <w:pPr>
        <w:spacing w:line="360" w:lineRule="exact" w:before="0" w:after="40"/>
      </w:pPr>
      <w:r>
        <w:rPr>
          <w:rFonts w:ascii="Times New Roman" w:hAnsi="Times New Roman" w:eastAsia="SimSun"/>
          <w:b w:val="0"/>
          <w:i w:val="0"/>
          <w:sz w:val="21"/>
        </w:rPr>
        <w:t>[110] 张成福, 党秀清. 公共管理学[M]. 北京: 中国人民大学出版社, 2020.</w:t>
      </w:r>
    </w:p>
    <w:p>
      <w:pPr>
        <w:spacing w:line="360" w:lineRule="exact" w:before="0" w:after="40"/>
      </w:pPr>
      <w:r>
        <w:rPr>
          <w:rFonts w:ascii="Times New Roman" w:hAnsi="Times New Roman" w:eastAsia="SimSun"/>
          <w:b w:val="0"/>
          <w:i w:val="0"/>
          <w:sz w:val="21"/>
        </w:rPr>
        <w:t>[111] Cavoukian A. Privacy by design: the 7 foundational principles[R]. Toronto: Information and Privacy Commissioner of Ontario, 2011.</w:t>
      </w:r>
    </w:p>
    <w:p>
      <w:pPr>
        <w:spacing w:line="360" w:lineRule="exact" w:before="0" w:after="40"/>
      </w:pPr>
      <w:r>
        <w:rPr>
          <w:rFonts w:ascii="Times New Roman" w:hAnsi="Times New Roman" w:eastAsia="SimSun"/>
          <w:b w:val="0"/>
          <w:i w:val="0"/>
          <w:sz w:val="21"/>
        </w:rPr>
        <w:t>[112] 黄璜. 数字政府：历史脉络、概念界定与理论框架[J]. 行政论坛, 2020, 27(5): 5-14.</w:t>
      </w:r>
    </w:p>
    <w:p>
      <w:pPr>
        <w:spacing w:line="360" w:lineRule="exact" w:before="0" w:after="40"/>
      </w:pPr>
      <w:r>
        <w:rPr>
          <w:rFonts w:ascii="Times New Roman" w:hAnsi="Times New Roman" w:eastAsia="SimSun"/>
          <w:b w:val="0"/>
          <w:i w:val="0"/>
          <w:sz w:val="21"/>
        </w:rPr>
        <w:t>[113] 竺乾威. 公共服务的逻辑[M]. 上海: 复旦大学出版社, 2019.</w:t>
      </w:r>
    </w:p>
    <w:p>
      <w:pPr>
        <w:spacing w:line="360" w:lineRule="exact" w:before="0" w:after="40"/>
      </w:pPr>
      <w:r>
        <w:rPr>
          <w:rFonts w:ascii="Times New Roman" w:hAnsi="Times New Roman" w:eastAsia="SimSun"/>
          <w:b w:val="0"/>
          <w:i w:val="0"/>
          <w:sz w:val="21"/>
        </w:rPr>
        <w:t>[114] 王锡锌. 个人信息国家保护义务及展开[J]. 中国法学, 2021(4): 145-166.</w:t>
      </w:r>
    </w:p>
    <w:p>
      <w:pPr>
        <w:spacing w:line="360" w:lineRule="exact" w:before="0" w:after="40"/>
      </w:pPr>
      <w:r>
        <w:rPr>
          <w:rFonts w:ascii="Times New Roman" w:hAnsi="Times New Roman" w:eastAsia="SimSun"/>
          <w:b w:val="0"/>
          <w:i w:val="0"/>
          <w:sz w:val="21"/>
        </w:rPr>
        <w:t>[115] 黄璜. 中国数字政府建设的政策演进与未来展望[J]. 行政论坛, 2022, 29(3): 5-15.</w:t>
      </w:r>
    </w:p>
    <w:p>
      <w:pPr>
        <w:spacing w:line="360" w:lineRule="exact" w:before="0" w:after="40"/>
      </w:pPr>
      <w:r>
        <w:rPr>
          <w:rFonts w:ascii="Times New Roman" w:hAnsi="Times New Roman" w:eastAsia="SimSun"/>
          <w:b w:val="0"/>
          <w:i w:val="0"/>
          <w:sz w:val="21"/>
        </w:rPr>
        <w:t>[116] 孟天广, 李然. 数字政府治理体系构建：逻辑、框架与路径[J]. 政治学研究, 2023(1): 88-102.</w:t>
      </w:r>
    </w:p>
    <w:p>
      <w:pPr>
        <w:spacing w:line="360" w:lineRule="exact" w:before="0" w:after="40"/>
      </w:pPr>
      <w:r>
        <w:rPr>
          <w:rFonts w:ascii="Times New Roman" w:hAnsi="Times New Roman" w:eastAsia="SimSun"/>
          <w:b w:val="0"/>
          <w:i w:val="0"/>
          <w:sz w:val="21"/>
        </w:rPr>
        <w:t>[117] Perri 6. Holistic government[M]. London: Demos, 2002.</w:t>
      </w:r>
    </w:p>
    <w:p>
      <w:pPr>
        <w:spacing w:line="360" w:lineRule="exact" w:before="0" w:after="40"/>
      </w:pPr>
      <w:r>
        <w:rPr>
          <w:rFonts w:ascii="Times New Roman" w:hAnsi="Times New Roman" w:eastAsia="SimSun"/>
          <w:b w:val="0"/>
          <w:i w:val="0"/>
          <w:sz w:val="21"/>
        </w:rPr>
        <w:t>[118] 张成福, 党秀云. 公共管理学[M]. 北京: 中国人民大学出版社, 2020.</w:t>
      </w:r>
    </w:p>
    <w:p>
      <w:pPr>
        <w:spacing w:line="360" w:lineRule="exact" w:before="0" w:after="40"/>
      </w:pPr>
      <w:r>
        <w:rPr>
          <w:rFonts w:ascii="Times New Roman" w:hAnsi="Times New Roman" w:eastAsia="SimSun"/>
          <w:b w:val="0"/>
          <w:i w:val="0"/>
          <w:sz w:val="21"/>
        </w:rPr>
        <w:t>[119] 陈振明. 数字时代政府治理变革的逻辑与路径[J]. 中国行政管理, 2022(5): 6-13.</w:t>
      </w:r>
    </w:p>
    <w:p>
      <w:pPr>
        <w:spacing w:line="360" w:lineRule="exact" w:before="0" w:after="40"/>
      </w:pPr>
      <w:r>
        <w:rPr>
          <w:rFonts w:ascii="Times New Roman" w:hAnsi="Times New Roman" w:eastAsia="SimSun"/>
          <w:b w:val="0"/>
          <w:i w:val="0"/>
          <w:sz w:val="21"/>
        </w:rPr>
        <w:t>[120] 郁建兴, 黄亮. 数字政府建设中的部门协同机制研究[J]. 浙江大学学报(人文社会科学版), 2023, 53(2): 5-18.</w:t>
      </w:r>
    </w:p>
    <w:p>
      <w:pPr>
        <w:spacing w:line="360" w:lineRule="exact" w:before="0" w:after="40"/>
      </w:pPr>
      <w:r>
        <w:rPr>
          <w:rFonts w:ascii="Times New Roman" w:hAnsi="Times New Roman" w:eastAsia="SimSun"/>
          <w:b w:val="0"/>
          <w:i w:val="0"/>
          <w:sz w:val="21"/>
        </w:rPr>
        <w:t>[121] Mergel I, Edelmann N, Haug N. Defining digital transformation: Results from expert interviews[J]. Government Information Quarterly, 2019, 36(4): 101385.</w:t>
      </w:r>
    </w:p>
    <w:p>
      <w:pPr>
        <w:spacing w:line="360" w:lineRule="exact" w:before="0" w:after="40"/>
      </w:pPr>
      <w:r>
        <w:rPr>
          <w:rFonts w:ascii="Times New Roman" w:hAnsi="Times New Roman" w:eastAsia="SimSun"/>
          <w:b w:val="0"/>
          <w:i w:val="0"/>
          <w:sz w:val="21"/>
        </w:rPr>
        <w:t>[122] 冯登国, 张敏, 张妍, 等. 大数据安全体系与技术[J]. 计算机学报, 2021, 44(1): 1-25.</w:t>
      </w:r>
    </w:p>
    <w:p>
      <w:pPr>
        <w:spacing w:line="360" w:lineRule="exact" w:before="0" w:after="40"/>
      </w:pPr>
      <w:r>
        <w:rPr>
          <w:rFonts w:ascii="Times New Roman" w:hAnsi="Times New Roman" w:eastAsia="SimSun"/>
          <w:b w:val="0"/>
          <w:i w:val="0"/>
          <w:sz w:val="21"/>
        </w:rPr>
        <w:t>[123] 袁勇, 王飞跃. 区块链技术发展现状与展望[J]. 自动化学报, 2016, 42(4): 481-494.</w:t>
      </w:r>
    </w:p>
    <w:p>
      <w:pPr>
        <w:spacing w:line="360" w:lineRule="exact" w:before="0" w:after="40"/>
      </w:pPr>
      <w:r>
        <w:rPr>
          <w:rFonts w:ascii="Times New Roman" w:hAnsi="Times New Roman" w:eastAsia="SimSun"/>
          <w:b w:val="0"/>
          <w:i w:val="0"/>
          <w:sz w:val="21"/>
        </w:rPr>
        <w:t>[124] 全国信息技术标准化技术委员会. 信息技术 大数据 数据分类指南: GB/T 38667-2020[S]. 北京: 中国标准出版社, 2020.</w:t>
      </w:r>
    </w:p>
    <w:p>
      <w:pPr>
        <w:spacing w:line="360" w:lineRule="exact" w:before="0" w:after="40"/>
      </w:pPr>
      <w:r>
        <w:rPr>
          <w:rFonts w:ascii="Times New Roman" w:hAnsi="Times New Roman" w:eastAsia="SimSun"/>
          <w:b w:val="0"/>
          <w:i w:val="0"/>
          <w:sz w:val="21"/>
        </w:rPr>
        <w:t>[125] 左晓栋. 数据安全法解读：构建数据安全治理体系[J]. 信息安全研究, 2021, 7(9): 865-870.</w:t>
      </w:r>
    </w:p>
    <w:p>
      <w:pPr>
        <w:spacing w:line="360" w:lineRule="exact" w:before="0" w:after="40"/>
      </w:pPr>
      <w:r>
        <w:rPr>
          <w:rFonts w:ascii="Times New Roman" w:hAnsi="Times New Roman" w:eastAsia="SimSun"/>
          <w:b w:val="0"/>
          <w:i w:val="0"/>
          <w:sz w:val="21"/>
        </w:rPr>
        <w:t>[126] Rose S, Borchert O, Mitchell S, et al. Zero trust architecture[R]. NIST Special Publication 800-207, 2020.</w:t>
      </w:r>
    </w:p>
    <w:p>
      <w:pPr>
        <w:spacing w:line="360" w:lineRule="exact" w:before="0" w:after="40"/>
      </w:pPr>
      <w:r>
        <w:rPr>
          <w:rFonts w:ascii="Times New Roman" w:hAnsi="Times New Roman" w:eastAsia="SimSun"/>
          <w:b w:val="0"/>
          <w:i w:val="0"/>
          <w:sz w:val="21"/>
        </w:rPr>
        <w:t>[127] Yang K, Han Q, Li H, et al. Privacy-preserving federated learning for IoT applications[J]. IEEE Internet of Things Journal, 2022, 9(15): 13682-13693.</w:t>
      </w:r>
    </w:p>
    <w:p>
      <w:pPr>
        <w:spacing w:line="360" w:lineRule="exact" w:before="0" w:after="40"/>
      </w:pPr>
      <w:r>
        <w:rPr>
          <w:rFonts w:ascii="Times New Roman" w:hAnsi="Times New Roman" w:eastAsia="SimSun"/>
          <w:b w:val="0"/>
          <w:i w:val="0"/>
          <w:sz w:val="21"/>
        </w:rPr>
        <w:t>[128] Gil-Garcia J R, Pardo T A, Nam T. What makes it a smart city? An information systems perspective[J]. International Journal of Information Management, 2018, 40: 3-14.</w:t>
      </w:r>
    </w:p>
    <w:p>
      <w:pPr>
        <w:spacing w:line="360" w:lineRule="exact" w:before="0" w:after="40"/>
      </w:pPr>
      <w:r>
        <w:rPr>
          <w:rFonts w:ascii="Times New Roman" w:hAnsi="Times New Roman" w:eastAsia="SimSun"/>
          <w:b w:val="0"/>
          <w:i w:val="0"/>
          <w:sz w:val="21"/>
        </w:rPr>
        <w:t>[129] 谭海波, 范梓腾, 杜运周. 技术塑造制度：数字政府建设的演化逻辑[J]. 公共管理学报, 2023, 20(1): 1-12.</w:t>
      </w:r>
    </w:p>
    <w:p>
      <w:pPr>
        <w:spacing w:line="360" w:lineRule="exact" w:before="0" w:after="40"/>
      </w:pPr>
      <w:r>
        <w:rPr>
          <w:rFonts w:ascii="Times New Roman" w:hAnsi="Times New Roman" w:eastAsia="SimSun"/>
          <w:b w:val="0"/>
          <w:i w:val="0"/>
          <w:sz w:val="21"/>
        </w:rPr>
        <w:t>[130] 赵国军, 杨兰. 数字政府建设中公务员数字素养提升路径研究[J]. 电子政务, 2022(8): 22-30.</w:t>
      </w:r>
    </w:p>
    <w:p>
      <w:pPr>
        <w:spacing w:line="360" w:lineRule="exact" w:before="0" w:after="40"/>
      </w:pPr>
      <w:r>
        <w:rPr>
          <w:rFonts w:ascii="Times New Roman" w:hAnsi="Times New Roman" w:eastAsia="SimSun"/>
          <w:b w:val="0"/>
          <w:i w:val="0"/>
          <w:sz w:val="21"/>
        </w:rPr>
        <w:t>[131] 陈振明. 公共管理学[M]. 北京: 中国人民大学出版社, 2017.</w:t>
      </w:r>
    </w:p>
    <w:p>
      <w:pPr>
        <w:spacing w:line="360" w:lineRule="exact" w:before="0" w:after="40"/>
      </w:pPr>
      <w:r>
        <w:rPr>
          <w:rFonts w:ascii="Times New Roman" w:hAnsi="Times New Roman" w:eastAsia="SimSun"/>
          <w:b w:val="0"/>
          <w:i w:val="0"/>
          <w:sz w:val="21"/>
        </w:rPr>
        <w:t>[132] 黄璜. 数字政府：历史、现状与未来[J]. 行政管理改革, 2020(10): 4-12.</w:t>
      </w:r>
    </w:p>
    <w:p>
      <w:pPr>
        <w:spacing w:line="360" w:lineRule="exact" w:before="0" w:after="40"/>
      </w:pPr>
      <w:r>
        <w:rPr>
          <w:rFonts w:ascii="Times New Roman" w:hAnsi="Times New Roman" w:eastAsia="SimSun"/>
          <w:b w:val="0"/>
          <w:i w:val="0"/>
          <w:sz w:val="21"/>
        </w:rPr>
        <w:t>[133] 孟天广, 赵娟. 数字时代的技术赋能与治理变革[J]. 政治学研究, 2021(3): 2-15.</w:t>
      </w:r>
    </w:p>
    <w:p>
      <w:pPr>
        <w:spacing w:line="360" w:lineRule="exact" w:before="0" w:after="40"/>
      </w:pPr>
      <w:r>
        <w:rPr>
          <w:rFonts w:ascii="Times New Roman" w:hAnsi="Times New Roman" w:eastAsia="SimSun"/>
          <w:b w:val="0"/>
          <w:i w:val="0"/>
          <w:sz w:val="21"/>
        </w:rPr>
        <w:t>[134] 郁建兴, 黄亮. 数字政府建设的逻辑、困境与路径[J]. 中国行政管理, 2022(5): 6-13.</w:t>
      </w:r>
    </w:p>
    <w:p>
      <w:pPr>
        <w:spacing w:line="360" w:lineRule="exact" w:before="0" w:after="40"/>
      </w:pPr>
      <w:r>
        <w:rPr>
          <w:rFonts w:ascii="Times New Roman" w:hAnsi="Times New Roman" w:eastAsia="SimSun"/>
          <w:b w:val="0"/>
          <w:i w:val="0"/>
          <w:sz w:val="21"/>
        </w:rPr>
        <w:t>[135] Perri 6. Holistic governance[J]. New Political Science, 2004, 26(2): 235-250.</w:t>
      </w:r>
    </w:p>
    <w:p>
      <w:pPr>
        <w:spacing w:line="360" w:lineRule="exact" w:before="0" w:after="40"/>
      </w:pPr>
      <w:r>
        <w:rPr>
          <w:rFonts w:ascii="Times New Roman" w:hAnsi="Times New Roman" w:eastAsia="SimSun"/>
          <w:b w:val="0"/>
          <w:i w:val="0"/>
          <w:sz w:val="21"/>
        </w:rPr>
        <w:t>[136] 王绍光. 国家治理与基础性国家能力[J]. 华中科技大学学报(社会科学版), 2014, 28(3): 8-10.</w:t>
      </w:r>
    </w:p>
    <w:p>
      <w:pPr>
        <w:spacing w:line="360" w:lineRule="exact" w:before="0" w:after="40"/>
      </w:pPr>
      <w:r>
        <w:rPr>
          <w:rFonts w:ascii="Times New Roman" w:hAnsi="Times New Roman" w:eastAsia="SimSun"/>
          <w:b w:val="0"/>
          <w:i w:val="0"/>
          <w:sz w:val="21"/>
        </w:rPr>
        <w:t>[137] 江小涓. 数字时代的技术红利与治理创新[J]. 管理世界, 2021, 37(12): 1-12.</w:t>
      </w:r>
    </w:p>
    <w:p>
      <w:pPr>
        <w:spacing w:line="360" w:lineRule="exact" w:before="0" w:after="40"/>
      </w:pPr>
      <w:r>
        <w:rPr>
          <w:rFonts w:ascii="Times New Roman" w:hAnsi="Times New Roman" w:eastAsia="SimSun"/>
          <w:b w:val="0"/>
          <w:i w:val="0"/>
          <w:sz w:val="21"/>
        </w:rPr>
        <w:t>[138] Yin R K. Case study research and applications: Design and methods[M]. Thousand Oaks: Sage publications, 2017.</w:t>
      </w:r>
    </w:p>
    <w:p>
      <w:pPr>
        <w:spacing w:line="360" w:lineRule="exact" w:before="0" w:after="40"/>
      </w:pPr>
      <w:r>
        <w:rPr>
          <w:rFonts w:ascii="Times New Roman" w:hAnsi="Times New Roman" w:eastAsia="SimSun"/>
          <w:b w:val="0"/>
          <w:i w:val="0"/>
          <w:sz w:val="21"/>
        </w:rPr>
        <w:t>[139] 梅宏, 郝丹, 袁云帆. 软件定义的数据治理[J]. 计算机学报, 2022, 45(1): 1-18.</w:t>
      </w:r>
    </w:p>
    <w:p>
      <w:pPr>
        <w:spacing w:line="360" w:lineRule="exact" w:before="0" w:after="40"/>
      </w:pPr>
      <w:r>
        <w:rPr>
          <w:rFonts w:ascii="Times New Roman" w:hAnsi="Times New Roman" w:eastAsia="SimSun"/>
          <w:b w:val="0"/>
          <w:i w:val="0"/>
          <w:sz w:val="21"/>
        </w:rPr>
        <w:t>[140] Dunleavy P, Margetts H. Digital era governance: IT corporations, the state, and e-government[M]. Oxford: Oxford University Press, 2006.</w:t>
      </w:r>
    </w:p>
    <w:p>
      <w:pPr>
        <w:spacing w:line="360" w:lineRule="exact" w:before="0" w:after="40"/>
      </w:pPr>
      <w:r>
        <w:rPr>
          <w:rFonts w:ascii="Times New Roman" w:hAnsi="Times New Roman" w:eastAsia="SimSun"/>
          <w:b w:val="0"/>
          <w:i w:val="0"/>
          <w:sz w:val="21"/>
        </w:rPr>
        <w:t>[141] O'Neil C. Weapons of math destruction: How big data increases inequality and threatens democracy[M]. New York: Crown, 2016.</w:t>
      </w:r>
    </w:p>
    <w:p>
      <w:pPr>
        <w:spacing w:line="360" w:lineRule="exact" w:before="0" w:after="40"/>
      </w:pPr>
      <w:r>
        <w:rPr>
          <w:rFonts w:ascii="Times New Roman" w:hAnsi="Times New Roman" w:eastAsia="SimSun"/>
          <w:b w:val="0"/>
          <w:i w:val="0"/>
          <w:sz w:val="21"/>
        </w:rPr>
        <w:t>[142] 竺乾威. 公共服务的协同治理机制研究[J]. 复旦学报(社会科学版), 2019(4): 135-143.</w:t>
      </w:r>
    </w:p>
    <w:p>
      <w:pPr>
        <w:spacing w:line="360" w:lineRule="exact" w:before="0" w:after="40"/>
      </w:pPr>
      <w:r>
        <w:rPr>
          <w:rFonts w:ascii="Times New Roman" w:hAnsi="Times New Roman" w:eastAsia="SimSun"/>
          <w:b w:val="0"/>
          <w:i w:val="0"/>
          <w:sz w:val="21"/>
        </w:rPr>
        <w:t>[143] DeNardis L. The global war for internet governance[M]. New Haven: Yale University Press, 2014.</w:t>
      </w:r>
    </w:p>
    <w:p>
      <w:pPr>
        <w:pStyle w:val="Heading1"/>
        <w:spacing w:line="480" w:lineRule="exact"/>
      </w:pPr>
      <w:r>
        <w:rPr>
          <w:rFonts w:ascii="Times New Roman" w:hAnsi="Times New Roman" w:eastAsia="SimHei"/>
          <w:b/>
          <w:i w:val="0"/>
          <w:color w:val="000000"/>
          <w:sz w:val="32"/>
        </w:rPr>
        <w:t>攻读学位期间取得的研究成果</w:t>
      </w:r>
    </w:p>
    <w:p>
      <w:pPr>
        <w:spacing w:line="440" w:lineRule="exact" w:before="0" w:after="0"/>
        <w:ind w:firstLine="480"/>
        <w:jc w:val="both"/>
      </w:pPr>
      <w:r>
        <w:rPr>
          <w:rFonts w:ascii="Times New Roman" w:hAnsi="Times New Roman" w:eastAsia="SimSun"/>
          <w:b w:val="0"/>
          <w:i w:val="0"/>
          <w:sz w:val="24"/>
        </w:rPr>
        <w:t>（请在此列出攻读学位期间发表的论文、获得的专利及科研获奖等研究成果。）</w:t>
      </w:r>
    </w:p>
    <w:p>
      <w:r>
        <w:br w:type="page"/>
      </w:r>
    </w:p>
    <w:p>
      <w:pPr>
        <w:pStyle w:val="Heading1"/>
        <w:spacing w:line="480" w:lineRule="exact"/>
      </w:pPr>
      <w:r>
        <w:rPr>
          <w:rFonts w:ascii="Times New Roman" w:hAnsi="Times New Roman" w:eastAsia="SimHei"/>
          <w:b/>
          <w:i w:val="0"/>
          <w:color w:val="000000"/>
          <w:sz w:val="32"/>
        </w:rPr>
        <w:t>致谢</w:t>
      </w:r>
    </w:p>
    <w:p>
      <w:pPr>
        <w:spacing w:line="440" w:lineRule="exact" w:before="0" w:after="0"/>
        <w:ind w:firstLine="480"/>
        <w:jc w:val="both"/>
      </w:pPr>
      <w:r>
        <w:rPr>
          <w:rFonts w:ascii="Times New Roman" w:hAnsi="Times New Roman" w:eastAsia="SimSun"/>
          <w:b w:val="0"/>
          <w:i w:val="0"/>
          <w:sz w:val="24"/>
        </w:rPr>
        <w:t>在此，我谨向在论文撰写过程中给予我悉心指导和帮助的导师表示最诚挚的感谢。感谢各位评审专家在百忙之中审阅本文并提出宝贵的修改意见。同时感谢在学习和生活中给予我关心和支持的家人、同学和朋友们。</w:t>
      </w:r>
    </w:p>
    <w:p>
      <w:r>
        <w:br w:type="page"/>
      </w:r>
    </w:p>
    <w:p>
      <w:r>
        <w:br w:type="page"/>
      </w:r>
    </w:p>
    <w:p>
      <w:pPr>
        <w:pStyle w:val="Heading1"/>
        <w:spacing w:line="480" w:lineRule="exact"/>
      </w:pPr>
      <w:r>
        <w:rPr>
          <w:rFonts w:ascii="Times New Roman" w:hAnsi="Times New Roman" w:eastAsia="SimHei"/>
          <w:b/>
          <w:i w:val="0"/>
          <w:color w:val="000000"/>
          <w:sz w:val="32"/>
        </w:rPr>
        <w:t>插图清单</w:t>
      </w:r>
    </w:p>
    <w:p>
      <w:pPr>
        <w:spacing w:line="440" w:lineRule="exact" w:before="0" w:after="80"/>
      </w:pPr>
      <w:r>
        <w:rPr>
          <w:rFonts w:ascii="Times New Roman" w:hAnsi="Times New Roman" w:eastAsia="SimSun"/>
          <w:b w:val="0"/>
          <w:i w:val="0"/>
          <w:sz w:val="24"/>
        </w:rPr>
        <w:t>图1.1  本研究技术路线图（黑白线条图风格，简洁框图，无装饰，无彩色）  ……</w:t>
      </w:r>
    </w:p>
    <w:p>
      <w:pPr>
        <w:spacing w:line="440" w:lineRule="exact" w:before="0" w:after="80"/>
      </w:pPr>
      <w:r>
        <w:rPr>
          <w:rFonts w:ascii="Times New Roman" w:hAnsi="Times New Roman" w:eastAsia="SimSun"/>
          <w:b w:val="0"/>
          <w:i w:val="0"/>
          <w:sz w:val="24"/>
        </w:rPr>
        <w:t>图2.1  整体性治理与数据生命周期融合的理论框架示意图（黑白线条图风格，简洁框图，无装饰，无彩色）  ……</w:t>
      </w:r>
    </w:p>
    <w:p>
      <w:pPr>
        <w:spacing w:line="440" w:lineRule="exact" w:before="0" w:after="80"/>
      </w:pPr>
      <w:r>
        <w:rPr>
          <w:rFonts w:ascii="Times New Roman" w:hAnsi="Times New Roman" w:eastAsia="SimSun"/>
          <w:b w:val="0"/>
          <w:i w:val="0"/>
          <w:sz w:val="24"/>
        </w:rPr>
        <w:t>图6.1  政务数据治理技术架构示意图（黑白线条图风格，简洁框图，无装饰，无彩色）  ……</w:t>
      </w:r>
    </w:p>
    <w:p>
      <w:pPr>
        <w:pStyle w:val="Heading1"/>
        <w:spacing w:line="480" w:lineRule="exact"/>
      </w:pPr>
      <w:r>
        <w:rPr>
          <w:rFonts w:ascii="Times New Roman" w:hAnsi="Times New Roman" w:eastAsia="SimHei"/>
          <w:b/>
          <w:i w:val="0"/>
          <w:color w:val="000000"/>
          <w:sz w:val="32"/>
        </w:rPr>
        <w:t>附表清单</w:t>
      </w:r>
    </w:p>
    <w:p>
      <w:pPr>
        <w:spacing w:line="440" w:lineRule="exact" w:before="0" w:after="80"/>
      </w:pPr>
      <w:r>
        <w:rPr>
          <w:rFonts w:ascii="Times New Roman" w:hAnsi="Times New Roman" w:eastAsia="SimSun"/>
          <w:b w:val="0"/>
          <w:i w:val="0"/>
          <w:sz w:val="24"/>
        </w:rPr>
        <w:t>表2.1  政务数据治理“制度-技术-组织”三维分析框架要素表  ……</w:t>
      </w:r>
    </w:p>
    <w:p>
      <w:pPr>
        <w:spacing w:line="440" w:lineRule="exact" w:before="0" w:after="80"/>
      </w:pPr>
      <w:r>
        <w:rPr>
          <w:rFonts w:ascii="Times New Roman" w:hAnsi="Times New Roman" w:eastAsia="SimSun"/>
          <w:b w:val="0"/>
          <w:i w:val="0"/>
          <w:sz w:val="24"/>
        </w:rPr>
        <w:t>表3.1  我国政务数据治理政策演进阶段特征  ……</w:t>
      </w:r>
    </w:p>
    <w:p>
      <w:pPr>
        <w:spacing w:line="440" w:lineRule="exact" w:before="0" w:after="80"/>
      </w:pPr>
      <w:r>
        <w:rPr>
          <w:rFonts w:ascii="Times New Roman" w:hAnsi="Times New Roman" w:eastAsia="SimSun"/>
          <w:b w:val="0"/>
          <w:i w:val="0"/>
          <w:sz w:val="24"/>
        </w:rPr>
        <w:t>表4.1  政务数据治理中的主要技术障碍及其表现  ……</w:t>
      </w:r>
    </w:p>
    <w:p>
      <w:pPr>
        <w:spacing w:line="440" w:lineRule="exact" w:before="0" w:after="80"/>
      </w:pPr>
      <w:r>
        <w:rPr>
          <w:rFonts w:ascii="Times New Roman" w:hAnsi="Times New Roman" w:eastAsia="SimSun"/>
          <w:b w:val="0"/>
          <w:i w:val="0"/>
          <w:sz w:val="24"/>
        </w:rPr>
        <w:t>表5.1  国外典型国家政务数据治理模式比较  ……</w:t>
      </w:r>
    </w:p>
    <w:sectPr w:rsidR="00FC693F" w:rsidRPr="0006063C" w:rsidSect="00034616">
      <w:footerReference w:type="default" r:id="rId10"/>
      <w:pgSz w:w="11906" w:h="16838"/>
      <w:pgMar w:top="1701" w:right="1417" w:bottom="1417" w:left="1701" w:header="720" w:footer="720" w:gutter="0"/>
      <w:cols w:space="720"/>
      <w:titlePg/>
      <w:docGrid w:linePitch="360"/>
      <w:pgNumType w:fmt="decimal"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sz w:val="21"/>
      </w:rPr>
      <w:fldChar w:fldCharType="begin"/>
    </w:r>
    <w:r>
      <w:rPr>
        <w:rFonts w:ascii="Times New Roman" w:hAnsi="Times New Roman" w:eastAsia="Times New Roman"/>
        <w:b w:val="0"/>
        <w:i w:val="0"/>
        <w:sz w:val="21"/>
      </w:rPr>
      <w:instrText xml:space="preserve"> PAGE </w:instrText>
    </w:r>
    <w:r>
      <w:fldChar w:fldCharType="separate"/>
    </w:r>
    <w:r>
      <w:rPr>
        <w:rFonts w:ascii="Times New Roman" w:hAnsi="Times New Roman" w:eastAsia="Times New Roman"/>
        <w:b w:val="0"/>
        <w:i w:val="0"/>
        <w:sz w:val="21"/>
      </w:rPr>
      <w:t>1</w:t>
    </w:r>
    <w:r>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sz w:val="21"/>
      </w:rPr>
      <w:fldChar w:fldCharType="begin"/>
    </w:r>
    <w:r>
      <w:rPr>
        <w:rFonts w:ascii="Times New Roman" w:hAnsi="Times New Roman" w:eastAsia="Times New Roman"/>
        <w:b w:val="0"/>
        <w:i w:val="0"/>
        <w:sz w:val="21"/>
      </w:rPr>
      <w:instrText xml:space="preserve"> PAGE </w:instrText>
    </w:r>
    <w:r>
      <w:fldChar w:fldCharType="separate"/>
    </w:r>
    <w:r>
      <w:rPr>
        <w:rFonts w:ascii="Times New Roman" w:hAnsi="Times New Roman" w:eastAsia="Times New Roman"/>
        <w:b w:val="0"/>
        <w:i w:val="0"/>
        <w:sz w:val="21"/>
      </w:rPr>
      <w:t>1</w:t>
    </w:r>
    <w:r>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40" w:lineRule="exact" w:before="0" w:after="0"/>
    </w:pPr>
    <w:rPr>
      <w:rFonts w:ascii="Times New Roman" w:hAnsi="Times New Roman" w:eastAsia="SimSu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360" w:line="480" w:lineRule="exact"/>
      <w:jc w:val="center"/>
      <w:outlineLvl w:val="0"/>
    </w:pPr>
    <w:rPr>
      <w:rFonts w:asciiTheme="majorHAnsi" w:eastAsiaTheme="majorEastAsia" w:hAnsiTheme="majorHAnsi" w:cstheme="majorBidi" w:ascii="Times New Roman" w:hAnsi="Times New Roman" w:eastAsia="SimHei"/>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80" w:after="160" w:line="440" w:lineRule="exact"/>
      <w:jc w:val="left"/>
      <w:outlineLvl w:val="1"/>
    </w:pPr>
    <w:rPr>
      <w:rFonts w:asciiTheme="majorHAnsi" w:eastAsiaTheme="majorEastAsia" w:hAnsiTheme="majorHAnsi" w:cstheme="majorBidi" w:ascii="Times New Roman" w:hAnsi="Times New Roman" w:eastAsia="SimHei"/>
      <w:b/>
      <w:bCs/>
      <w:color w:val="000000"/>
      <w:sz w:val="28"/>
      <w:szCs w:val="26"/>
    </w:rPr>
  </w:style>
  <w:style w:type="paragraph" w:styleId="Heading3">
    <w:name w:val="heading 3"/>
    <w:basedOn w:val="Normal"/>
    <w:next w:val="Normal"/>
    <w:link w:val="Heading3Char"/>
    <w:uiPriority w:val="9"/>
    <w:unhideWhenUsed/>
    <w:qFormat/>
    <w:rsid w:val="00FC693F"/>
    <w:pPr>
      <w:keepNext/>
      <w:keepLines/>
      <w:spacing w:before="200" w:after="120" w:line="440" w:lineRule="exact"/>
      <w:jc w:val="left"/>
      <w:outlineLvl w:val="2"/>
    </w:pPr>
    <w:rPr>
      <w:rFonts w:asciiTheme="majorHAnsi" w:eastAsiaTheme="majorEastAsia" w:hAnsiTheme="majorHAnsi" w:cstheme="majorBidi" w:ascii="Times New Roman" w:hAnsi="Times New Roman" w:eastAsia="SimHei"/>
      <w:b/>
      <w:bCs/>
      <w:color w:val="000000"/>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OC1">
    <w:name w:val="TOC 1"/>
    <w:pPr>
      <w:ind w:left="0"/>
    </w:pPr>
    <w:rPr>
      <w:rFonts w:ascii="Times New Roman" w:hAnsi="Times New Roman" w:eastAsia="SimHei"/>
      <w:sz w:val="24"/>
    </w:rPr>
  </w:style>
  <w:style w:type="paragraph" w:customStyle="1" w:styleId="TOC2">
    <w:name w:val="TOC 2"/>
    <w:pPr>
      <w:ind w:left="240"/>
    </w:pPr>
    <w:rPr>
      <w:rFonts w:ascii="Times New Roman" w:hAnsi="Times New Roman" w:eastAsia="SimSun"/>
      <w:sz w:val="24"/>
    </w:rPr>
  </w:style>
  <w:style w:type="paragraph" w:customStyle="1" w:styleId="TOC3">
    <w:name w:val="TOC 3"/>
    <w:pPr>
      <w:ind w:left="480"/>
    </w:pPr>
    <w:rPr>
      <w:rFonts w:ascii="Times New Roman" w:hAnsi="Times New Roman" w:eastAsia="SimSu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