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440" w:lineRule="exact" w:before="0" w:after="960"/>
      </w:pPr>
    </w:p>
    <w:p>
      <w:pPr>
        <w:spacing w:line="480" w:lineRule="exact" w:before="0" w:after="720"/>
        <w:jc w:val="center"/>
      </w:pPr>
      <w:r>
        <w:rPr>
          <w:rFonts w:ascii="Times New Roman" w:hAnsi="Times New Roman" w:eastAsia="SimHei"/>
          <w:b/>
          <w:i w:val="0"/>
          <w:sz w:val="32"/>
        </w:rPr>
        <w:t>学士学位论文</w:t>
      </w:r>
    </w:p>
    <w:p>
      <w:pPr>
        <w:spacing w:line="600" w:lineRule="exact" w:before="0" w:after="960"/>
        <w:jc w:val="center"/>
      </w:pPr>
      <w:r>
        <w:rPr>
          <w:rFonts w:ascii="Times New Roman" w:hAnsi="Times New Roman" w:eastAsia="SimHei"/>
          <w:b/>
          <w:i w:val="0"/>
          <w:sz w:val="44"/>
        </w:rPr>
        <w:t>基于改进ResNet的医疗影像分类算法研究与应用</w:t>
      </w:r>
    </w:p>
    <w:p>
      <w:pPr>
        <w:spacing w:line="440" w:lineRule="exact" w:before="0" w:after="160"/>
        <w:jc w:val="center"/>
      </w:pPr>
      <w:r>
        <w:rPr>
          <w:rFonts w:ascii="Times New Roman" w:hAnsi="Times New Roman" w:eastAsia="SimSun"/>
          <w:b w:val="0"/>
          <w:i w:val="0"/>
          <w:sz w:val="24"/>
        </w:rPr>
        <w:t>专业名称：计算机科学与技术</w:t>
      </w:r>
    </w:p>
    <w:p>
      <w:pPr>
        <w:spacing w:line="440" w:lineRule="exact" w:before="0" w:after="160"/>
        <w:jc w:val="center"/>
      </w:pPr>
      <w:r>
        <w:rPr>
          <w:rFonts w:ascii="Times New Roman" w:hAnsi="Times New Roman" w:eastAsia="SimSun"/>
          <w:b w:val="0"/>
          <w:i w:val="0"/>
          <w:sz w:val="24"/>
        </w:rPr>
        <w:t>研 究 生：______</w:t>
      </w:r>
    </w:p>
    <w:p>
      <w:pPr>
        <w:spacing w:line="440" w:lineRule="exact" w:before="0" w:after="160"/>
        <w:jc w:val="center"/>
      </w:pPr>
      <w:r>
        <w:rPr>
          <w:rFonts w:ascii="Times New Roman" w:hAnsi="Times New Roman" w:eastAsia="SimSun"/>
          <w:b w:val="0"/>
          <w:i w:val="0"/>
          <w:sz w:val="24"/>
        </w:rPr>
        <w:t>指导教师：______</w:t>
      </w:r>
    </w:p>
    <w:p>
      <w:pPr>
        <w:spacing w:line="440" w:lineRule="exact" w:before="0" w:after="160"/>
        <w:jc w:val="center"/>
      </w:pPr>
      <w:r>
        <w:rPr>
          <w:rFonts w:ascii="Times New Roman" w:hAnsi="Times New Roman" w:eastAsia="SimSun"/>
          <w:b w:val="0"/>
          <w:i w:val="0"/>
          <w:sz w:val="24"/>
        </w:rPr>
        <w:t>完成日期：______</w:t>
      </w:r>
    </w:p>
    <w:p>
      <w:r>
        <w:br w:type="page"/>
      </w:r>
    </w:p>
    <w:p>
      <w:pPr>
        <w:spacing w:line="480" w:lineRule="exact" w:before="240" w:after="360"/>
        <w:jc w:val="center"/>
      </w:pPr>
      <w:r>
        <w:rPr>
          <w:rFonts w:ascii="Times New Roman" w:hAnsi="Times New Roman" w:eastAsia="SimHei"/>
          <w:b/>
          <w:i w:val="0"/>
          <w:sz w:val="32"/>
        </w:rPr>
        <w:t>独创性声明</w:t>
      </w:r>
    </w:p>
    <w:p>
      <w:pPr>
        <w:spacing w:line="440" w:lineRule="exact" w:before="0" w:after="0"/>
        <w:ind w:firstLine="480"/>
        <w:jc w:val="both"/>
      </w:pPr>
      <w:r>
        <w:rPr>
          <w:rFonts w:ascii="Times New Roman" w:hAnsi="Times New Roman" w:eastAsia="SimSun"/>
          <w:b w:val="0"/>
          <w:i w:val="0"/>
          <w:sz w:val="24"/>
        </w:rPr>
        <w:t>本人声明所呈交的学位论文是本人在导师指导下进行的研究工作及取得的研究成果。据我所知，除了文中特别加以标注和致谢的地方外，论文中不包含其他人已经发表或撰写过的研究成果，也不包含为获得其他教育机构的学位或证书而使用过的材料。与我一同工作的同志对本研究所做的任何贡献均已在论文中作了明确的说明并表示谢意。</w:t>
      </w:r>
    </w:p>
    <w:p>
      <w:pPr>
        <w:spacing w:line="440" w:lineRule="exact" w:before="0" w:after="120"/>
      </w:pPr>
    </w:p>
    <w:p>
      <w:pPr>
        <w:spacing w:line="440" w:lineRule="exact" w:before="0" w:after="480"/>
      </w:pPr>
      <w:r>
        <w:rPr>
          <w:rFonts w:ascii="Times New Roman" w:hAnsi="Times New Roman" w:eastAsia="SimSun"/>
          <w:b w:val="0"/>
          <w:i w:val="0"/>
          <w:sz w:val="24"/>
        </w:rPr>
        <w:t>学位论文作者签名：______          签字日期：______年______月______日</w:t>
      </w:r>
    </w:p>
    <w:p>
      <w:pPr>
        <w:spacing w:line="480" w:lineRule="exact" w:before="240" w:after="360"/>
        <w:jc w:val="center"/>
      </w:pPr>
      <w:r>
        <w:rPr>
          <w:rFonts w:ascii="Times New Roman" w:hAnsi="Times New Roman" w:eastAsia="SimHei"/>
          <w:b/>
          <w:i w:val="0"/>
          <w:sz w:val="32"/>
        </w:rPr>
        <w:t>学位论文版权使用授权书</w:t>
      </w:r>
    </w:p>
    <w:p>
      <w:pPr>
        <w:spacing w:line="440" w:lineRule="exact" w:before="0" w:after="0"/>
        <w:ind w:firstLine="480"/>
        <w:jc w:val="both"/>
      </w:pPr>
      <w:r>
        <w:rPr>
          <w:rFonts w:ascii="Times New Roman" w:hAnsi="Times New Roman" w:eastAsia="SimSun"/>
          <w:b w:val="0"/>
          <w:i w:val="0"/>
          <w:sz w:val="24"/>
        </w:rPr>
        <w:t>本学位论文作者完全了解学校有关保留、使用学位论文的规定，即：学校有权保留并向国家有关部门或机构送交论文的复印件和磁盘，允许论文被查阅和借阅。本人授权学校可以将学位论文的全部或部分内容编入有关数据库进行检索，可以采用影印、缩印或扫描等复制手段保存、汇编学位论文。</w:t>
      </w:r>
    </w:p>
    <w:p>
      <w:pPr>
        <w:spacing w:line="440" w:lineRule="exact" w:before="0" w:after="120"/>
      </w:pPr>
    </w:p>
    <w:p>
      <w:pPr>
        <w:spacing w:line="440" w:lineRule="exact" w:before="0" w:after="120"/>
      </w:pPr>
      <w:r>
        <w:rPr>
          <w:rFonts w:ascii="Times New Roman" w:hAnsi="Times New Roman" w:eastAsia="SimSun"/>
          <w:b w:val="0"/>
          <w:i w:val="0"/>
          <w:sz w:val="24"/>
        </w:rPr>
        <w:t>学位论文作者签名：______          导师签名：______</w:t>
      </w:r>
    </w:p>
    <w:p>
      <w:pPr>
        <w:spacing w:line="440" w:lineRule="exact" w:before="0" w:after="120"/>
      </w:pPr>
      <w:r>
        <w:rPr>
          <w:rFonts w:ascii="Times New Roman" w:hAnsi="Times New Roman" w:eastAsia="SimSun"/>
          <w:b w:val="0"/>
          <w:i w:val="0"/>
          <w:sz w:val="24"/>
        </w:rPr>
        <w:t>签字日期：______年______月______日    签字日期：______年______月______日</w:t>
      </w:r>
    </w:p>
    <w:p>
      <w:r>
        <w:br w:type="page"/>
      </w:r>
    </w:p>
    <w:p>
      <w:pPr>
        <w:sectPr>
          <w:pgSz w:w="11906" w:h="16838"/>
          <w:pgMar w:top="1701" w:right="1417" w:bottom="1417" w:left="1701" w:header="720" w:footer="720" w:gutter="0"/>
          <w:cols w:space="720"/>
          <w:titlePg/>
          <w:docGrid w:linePitch="360"/>
        </w:sectPr>
      </w:pPr>
    </w:p>
    <w:p>
      <w:pPr>
        <w:spacing w:line="480" w:lineRule="exact" w:before="240" w:after="360"/>
        <w:jc w:val="center"/>
      </w:pPr>
      <w:r>
        <w:rPr>
          <w:rFonts w:ascii="Times New Roman" w:hAnsi="Times New Roman" w:eastAsia="SimHei"/>
          <w:b/>
          <w:i w:val="0"/>
          <w:sz w:val="32"/>
        </w:rPr>
        <w:t>摘  要</w:t>
      </w:r>
    </w:p>
    <w:p>
      <w:pPr>
        <w:spacing w:line="440" w:lineRule="exact" w:before="0" w:after="0"/>
        <w:ind w:firstLine="480"/>
        <w:jc w:val="both"/>
      </w:pPr>
      <w:r>
        <w:rPr>
          <w:rFonts w:ascii="Times New Roman" w:hAnsi="Times New Roman" w:eastAsia="KaiTi"/>
          <w:b w:val="0"/>
          <w:i w:val="0"/>
          <w:sz w:val="24"/>
        </w:rPr>
        <w:t>随着医疗信息化进程的加速，医学影像数据呈爆炸式增长，放射科医生面临巨大的诊断压力。传统人工阅片方式存在效率低、易疲劳漏诊等问题，亟需智能化辅助诊断系统的支持。深度学习尤其是卷积神经网络在图像识别领域的突破，为医疗影像自动分类提供了新的技术路径。</w:t>
      </w:r>
    </w:p>
    <w:p>
      <w:pPr>
        <w:spacing w:line="440" w:lineRule="exact" w:before="0" w:after="0"/>
        <w:ind w:firstLine="480"/>
        <w:jc w:val="both"/>
      </w:pPr>
      <w:r>
        <w:rPr>
          <w:rFonts w:ascii="Times New Roman" w:hAnsi="Times New Roman" w:eastAsia="KaiTi"/>
          <w:b w:val="0"/>
          <w:i w:val="0"/>
          <w:sz w:val="24"/>
        </w:rPr>
        <w:t>针对通用深度学习模型在医疗影像应用中存在的病灶特征提取不充分、类别不平衡导致分类偏差等痛点，本研究提出一种基于改进ResNet的医疗影像分类算法。首先，在ResNet50骨干网络中嵌入通道与空间注意力机制模块（CBAM），以增强模型对微小病灶区域的关注能力，抑制背景噪声干扰；其次，引入Focal Loss损失函数替代传统交叉熵损失，动态调整难易样本权重，有效缓解正负样本不平衡问题。</w:t>
      </w:r>
    </w:p>
    <w:p>
      <w:pPr>
        <w:spacing w:line="440" w:lineRule="exact" w:before="0" w:after="0"/>
        <w:ind w:firstLine="480"/>
        <w:jc w:val="both"/>
      </w:pPr>
      <w:r>
        <w:rPr>
          <w:rFonts w:ascii="Times New Roman" w:hAnsi="Times New Roman" w:eastAsia="KaiTi"/>
          <w:b w:val="0"/>
          <w:i w:val="0"/>
          <w:sz w:val="24"/>
        </w:rPr>
        <w:t>预期创新点包括：（1）构建了融合CBAM注意力机制的ResNet改进模型，提升了关键病理特征的表征能力；（2）设计了针对医疗影像长尾分布的损失函数优化策略，提高了少数类疾病的识别率；（3）利用Grad-CAM可视化技术验证了模型决策依据的可解释性。</w:t>
      </w:r>
    </w:p>
    <w:p>
      <w:pPr>
        <w:spacing w:line="440" w:lineRule="exact" w:before="0" w:after="0"/>
        <w:ind w:firstLine="480"/>
        <w:jc w:val="both"/>
      </w:pPr>
      <w:r>
        <w:rPr>
          <w:rFonts w:ascii="Times New Roman" w:hAnsi="Times New Roman" w:eastAsia="KaiTi"/>
          <w:b w:val="0"/>
          <w:i w:val="0"/>
          <w:sz w:val="24"/>
        </w:rPr>
        <w:t>实验将在公开胸部X光数据集上进行，预期结果表明改进模型在准确率、召回率及AUC指标上均优于基准ResNet50及VGG16模型，且热力图定位与医生标注区域高度吻合，具备较高的临床辅助诊断应用潜力。</w:t>
      </w:r>
    </w:p>
    <w:p>
      <w:pPr>
        <w:spacing w:line="440" w:lineRule="exact" w:before="240" w:after="120"/>
      </w:pPr>
      <w:r>
        <w:rPr>
          <w:rFonts w:ascii="Times New Roman" w:hAnsi="Times New Roman" w:eastAsia="SimHei"/>
          <w:b w:val="0"/>
          <w:i w:val="0"/>
          <w:sz w:val="24"/>
        </w:rPr>
        <w:t>关键词：医疗影像分类；卷积神经网络；ResNet；注意力机制；Focal Loss</w:t>
      </w:r>
    </w:p>
    <w:p>
      <w:r>
        <w:br w:type="page"/>
      </w:r>
    </w:p>
    <w:p>
      <w:pPr>
        <w:spacing w:line="480" w:lineRule="exact" w:before="240" w:after="360"/>
        <w:jc w:val="center"/>
      </w:pPr>
      <w:r>
        <w:rPr>
          <w:rFonts w:ascii="Times New Roman" w:hAnsi="Times New Roman" w:eastAsia="SimHei"/>
          <w:b/>
          <w:i w:val="0"/>
          <w:sz w:val="32"/>
        </w:rPr>
        <w:t>ABSTRACT</w:t>
      </w:r>
    </w:p>
    <w:p>
      <w:pPr>
        <w:spacing w:line="440" w:lineRule="exact" w:before="0" w:after="0"/>
        <w:ind w:firstLine="480"/>
        <w:jc w:val="both"/>
      </w:pPr>
      <w:r>
        <w:rPr>
          <w:rFonts w:ascii="Times New Roman" w:hAnsi="Times New Roman" w:eastAsia="Times New Roman"/>
          <w:b w:val="0"/>
          <w:i w:val="0"/>
          <w:sz w:val="24"/>
        </w:rPr>
        <w:t>With the acceleration of medical informatization, medical image data is growing explosively, imposing significant diagnostic pressure on radiologists. Traditional manual interpretation suffers from low efficiency and fatigue-induced missed diagnoses, creating an urgent need for intelligent computer-aided diagnosis systems. Breakthroughs in deep learning, particularly Convolutional Neural Networks (CNNs), offer new technical pathways for automated medical image classification.</w:t>
      </w:r>
    </w:p>
    <w:p>
      <w:pPr>
        <w:spacing w:line="440" w:lineRule="exact" w:before="0" w:after="0"/>
        <w:ind w:firstLine="480"/>
        <w:jc w:val="both"/>
      </w:pPr>
      <w:r>
        <w:rPr>
          <w:rFonts w:ascii="Times New Roman" w:hAnsi="Times New Roman" w:eastAsia="Times New Roman"/>
          <w:b w:val="0"/>
          <w:i w:val="0"/>
          <w:sz w:val="24"/>
        </w:rPr>
        <w:t>Addressing the pain points of insufficient lesion feature extraction and classification bias caused by class imbalance in general deep learning models, this study proposes a medical image classification algorithm based on an improved ResNet. First, the Convolutional Block Attention Module (CBAM) is embedded into the ResNet50 backbone to enhance the model's attention to subtle lesion regions and suppress background noise. Second, Focal Loss is introduced to replace traditional cross-entropy loss, dynamically adjusting weights for hard and easy samples to effectively alleviate the positive-negative sample imbalance.</w:t>
      </w:r>
    </w:p>
    <w:p>
      <w:pPr>
        <w:spacing w:line="440" w:lineRule="exact" w:before="0" w:after="0"/>
        <w:ind w:firstLine="480"/>
        <w:jc w:val="both"/>
      </w:pPr>
      <w:r>
        <w:rPr>
          <w:rFonts w:ascii="Times New Roman" w:hAnsi="Times New Roman" w:eastAsia="Times New Roman"/>
          <w:b w:val="0"/>
          <w:i w:val="0"/>
          <w:sz w:val="24"/>
        </w:rPr>
        <w:t>The expected innovations include: (1) constructing an improved ResNet model fused with CBAM attention mechanism to enhance the representation of key pathological features; (2) designing a loss function optimization strategy targeting the long-tail distribution of medical images to improve recognition rates for minority classes; (3) verifying the interpretability of model decisions using Grad-CAM visualization technology.</w:t>
      </w:r>
    </w:p>
    <w:p>
      <w:pPr>
        <w:spacing w:line="440" w:lineRule="exact" w:before="0" w:after="0"/>
        <w:ind w:firstLine="480"/>
        <w:jc w:val="both"/>
      </w:pPr>
      <w:r>
        <w:rPr>
          <w:rFonts w:ascii="Times New Roman" w:hAnsi="Times New Roman" w:eastAsia="Times New Roman"/>
          <w:b w:val="0"/>
          <w:i w:val="0"/>
          <w:sz w:val="24"/>
        </w:rPr>
        <w:t>Experiments will be conducted on public chest X-ray datasets. Expected results indicate that the improved model outperforms baseline ResNet50 and VGG16 models in accuracy, recall, and AUC metrics. Furthermore, heatmaps align highly with physician-annotated regions, demonstrating high potential for clinical auxiliary diagnosis applications.</w:t>
      </w:r>
    </w:p>
    <w:p>
      <w:pPr>
        <w:spacing w:line="440" w:lineRule="exact" w:before="240" w:after="120"/>
      </w:pPr>
      <w:r>
        <w:rPr>
          <w:rFonts w:ascii="Times New Roman" w:hAnsi="Times New Roman" w:eastAsia="Times New Roman"/>
          <w:b w:val="0"/>
          <w:i w:val="0"/>
          <w:sz w:val="24"/>
        </w:rPr>
        <w:t>Keywords: Medical Image Classification; Convolutional Neural Network; ResNet; Attention Mechanism; Focal Loss</w:t>
      </w:r>
    </w:p>
    <w:p>
      <w:r>
        <w:br w:type="page"/>
      </w:r>
    </w:p>
    <w:p>
      <w:pPr>
        <w:spacing w:line="480" w:lineRule="exact" w:before="960" w:after="480"/>
        <w:jc w:val="center"/>
      </w:pPr>
      <w:r>
        <w:rPr>
          <w:rFonts w:ascii="Times New Roman" w:hAnsi="Times New Roman" w:eastAsia="SimHei"/>
          <w:b/>
          <w:i w:val="0"/>
          <w:sz w:val="32"/>
        </w:rPr>
        <w:t>目  录</w:t>
      </w:r>
    </w:p>
    <w:p>
      <w:pPr>
        <w:pStyle w:val="TOC1"/>
        <w:spacing w:before="40" w:after="40" w:line="400" w:lineRule="exact"/>
        <w:tabs>
          <w:tab w:val="right" w:leader="dot" w:pos="5580000"/>
        </w:tabs>
      </w:pPr>
      <w:r>
        <w:rPr>
          <w:rFonts w:ascii="Times New Roman" w:hAnsi="Times New Roman" w:eastAsia="SimHei"/>
          <w:b w:val="0"/>
          <w:i w:val="0"/>
          <w:sz w:val="24"/>
        </w:rPr>
        <w:t>第1章 绪论</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1.1 研究背景与意义</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1.2 国内外研究现状</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1.3 主要研究内容</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1.4 论文组织结构</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第2章 相关理论与技术基础</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2.1 深度学习与卷积神经网络概述</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2.2 经典卷积神经网络模型分析</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2.3 医疗影像分类的特殊性与挑战</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2.4 本章小结</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第3章 基于改进ResNet的医疗影像分类算法设计</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3.1 算法总体架构设计</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3.2 嵌入CBAM注意力机制的网络改进</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3.3 基于Focal Loss的损失函数优化</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3.4 本章小结</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第4章 实验结果与分析</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4.1 实验环境与数据集准备</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4.2 评价指标与实验参数设置</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4.3 对比实验与结果分析</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4.4 消融实验与可视化分析</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4.5 本章小结</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第5章 总结与展望</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5.1 研究工作总结</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5.2 研究局限与不足</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5.3 未来工作展望</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参考文献</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攻读学位期间取得的研究成果</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致谢</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插图清单</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附表清单</w:t>
        <w:tab/>
      </w:r>
      <w:r>
        <w:rPr>
          <w:rFonts w:ascii="Times New Roman" w:hAnsi="Times New Roman" w:eastAsia="Times New Roman"/>
          <w:b w:val="0"/>
          <w:i w:val="0"/>
          <w:sz w:val="24"/>
        </w:rPr>
        <w:t xml:space="preserve"> </w:t>
      </w:r>
    </w:p>
    <w:p>
      <w:pPr>
        <w:spacing w:before="0" w:after="0"/>
        <w:jc w:val="left"/>
      </w:pPr>
      <w:r>
        <w:fldChar w:fldCharType="begin"/>
      </w:r>
      <w:r>
        <w:instrText xml:space="preserve"> TOC \o "1-3" \h \z \u </w:instrText>
      </w:r>
      <w:r>
        <w:fldChar w:fldCharType="separate"/>
      </w:r>
      <w:r>
        <w:fldChar w:fldCharType="end"/>
      </w:r>
    </w:p>
    <w:p>
      <w:r>
        <w:br w:type="page"/>
      </w:r>
    </w:p>
    <w:p>
      <w:pPr>
        <w:sectPr>
          <w:footerReference w:type="default" r:id="rId9"/>
          <w:pgSz w:w="11906" w:h="16838"/>
          <w:pgMar w:top="1701" w:right="1417" w:bottom="1417" w:left="1701" w:header="720" w:footer="720" w:gutter="0"/>
          <w:cols w:space="720"/>
          <w:titlePg/>
          <w:docGrid w:linePitch="360"/>
          <w:pgNumType w:fmt="upperRoman" w:start="1"/>
        </w:sectPr>
      </w:pPr>
    </w:p>
    <w:p>
      <w:pPr>
        <w:pStyle w:val="Heading1"/>
        <w:spacing w:line="480" w:lineRule="exact"/>
      </w:pPr>
      <w:r>
        <w:rPr>
          <w:rFonts w:ascii="Times New Roman" w:hAnsi="Times New Roman" w:eastAsia="SimHei"/>
          <w:b/>
          <w:i w:val="0"/>
          <w:color w:val="000000"/>
          <w:sz w:val="32"/>
        </w:rPr>
        <w:t>第1章 绪论</w:t>
      </w:r>
    </w:p>
    <w:p>
      <w:pPr>
        <w:pStyle w:val="Heading2"/>
        <w:spacing w:line="440" w:lineRule="exact"/>
      </w:pPr>
      <w:r>
        <w:rPr>
          <w:rFonts w:ascii="Times New Roman" w:hAnsi="Times New Roman" w:eastAsia="SimHei"/>
          <w:b/>
          <w:i w:val="0"/>
          <w:color w:val="000000"/>
          <w:sz w:val="28"/>
        </w:rPr>
        <w:t>1.1 研究背景与意义</w:t>
      </w:r>
    </w:p>
    <w:p>
      <w:pPr>
        <w:spacing w:line="440" w:lineRule="exact" w:before="0" w:after="0"/>
        <w:ind w:firstLine="480"/>
        <w:jc w:val="both"/>
      </w:pPr>
      <w:r>
        <w:rPr>
          <w:rFonts w:ascii="Times New Roman" w:hAnsi="Times New Roman" w:eastAsia="SimSun"/>
          <w:b w:val="0"/>
          <w:i w:val="0"/>
          <w:sz w:val="24"/>
        </w:rPr>
        <w:t>随着现代医疗技术的飞速发展与人口老龄化趋势的加剧，医学影像数据呈现出爆炸式增长态势。计算机断层扫描（Computed Tomography, CT）、磁共振成像（Magnetic Resonance Imaging, MRI）以及X射线等影像检查已成为临床疾病诊断、治疗方案制定及预后评估的核心依据[31]。据国际放射学会统计，全球每年产生的医学影像数据量以30%以上的速度递增，而放射科医生的数量增长远滞后于数据增长速度，导致医生面临巨大的阅片压力。传统的人工阅片模式不仅效率低下，且极易因医生疲劳、经验差异或主观因素导致漏诊与误诊，尤其是在面对微小病灶或早期病变时，诊断一致性难以保证[32]。因此，开发高效、准确的智能化辅助诊断系统，实现医疗影像的自动分类与病灶识别，已成为缓解医疗资源短缺、提升诊疗质量的关键需求。</w:t>
      </w:r>
    </w:p>
    <w:p>
      <w:pPr>
        <w:spacing w:line="440" w:lineRule="exact" w:before="0" w:after="0"/>
        <w:ind w:firstLine="480"/>
        <w:jc w:val="both"/>
      </w:pPr>
      <w:r>
        <w:rPr>
          <w:rFonts w:ascii="Times New Roman" w:hAnsi="Times New Roman" w:eastAsia="SimSun"/>
          <w:b w:val="0"/>
          <w:i w:val="0"/>
          <w:sz w:val="24"/>
        </w:rPr>
        <w:t>近年来，人工智能（Artificial Intelligence, AI）尤其是深度学习技术在计算机视觉领域取得了突破性进展，为医疗影像分析提供了全新的技术路径。卷积神经网络（Convolutional Neural Network, CNN）凭借其强大的特征提取能力，在自然图像分类任务中已超越人类水平[33]。将CNN应用于医疗影像分类，能够自动学习从像素级到语义级的高维特征，有效捕捉病灶的形态、纹理及空间分布信息。然而，直接应用通用深度学习模型处理医疗影像仍面临诸多挑战：一方面，医疗影像中的病灶区域往往占比极小，且与正常组织对比度低，通用模型容易忽略关键细节；另一方面，临床数据普遍存在严重的类别不平衡问题，罕见病样本稀缺导致模型倾向于预测多数类，降低了诊断的敏感性与特异性[34]。</w:t>
      </w:r>
    </w:p>
    <w:p>
      <w:pPr>
        <w:spacing w:line="440" w:lineRule="exact" w:before="0" w:after="0"/>
        <w:ind w:firstLine="480"/>
        <w:jc w:val="both"/>
      </w:pPr>
      <w:r>
        <w:rPr>
          <w:rFonts w:ascii="Times New Roman" w:hAnsi="Times New Roman" w:eastAsia="SimSun"/>
          <w:b w:val="0"/>
          <w:i w:val="0"/>
          <w:sz w:val="24"/>
        </w:rPr>
        <w:t>本研究旨在针对上述痛点，提出一种基于改进残差网络（Residual Network, ResNet）的医疗影像分类算法，具有显著的学术价值与实践意义。在学术层面，通过引入注意力机制与优化损失函数，探索解决小目标检测与类别不平衡问题的有效途径，丰富了深度学习在特定垂直领域的应用理论。在实践层面，该算法有望构建高精度的辅助诊断工具，帮助放射科医生快速筛选可疑病例，缩短诊断时间，降低漏诊率，从而优化医疗资源配置，提升基层医疗机构的诊断水平，最终造福广大患者[35]。此外，本研究对于推动智慧医疗建设、实现医疗影像数据的标准化与智能化处理具有重要的社会经济效益。</w:t>
      </w:r>
    </w:p>
    <w:p>
      <w:pPr>
        <w:pStyle w:val="Heading2"/>
        <w:spacing w:line="440" w:lineRule="exact"/>
      </w:pPr>
      <w:r>
        <w:rPr>
          <w:rFonts w:ascii="Times New Roman" w:hAnsi="Times New Roman" w:eastAsia="SimHei"/>
          <w:b/>
          <w:i w:val="0"/>
          <w:color w:val="000000"/>
          <w:sz w:val="28"/>
        </w:rPr>
        <w:t>1.2 国内外研究现状</w:t>
      </w:r>
    </w:p>
    <w:p>
      <w:pPr>
        <w:spacing w:line="440" w:lineRule="exact" w:before="0" w:after="0"/>
        <w:ind w:firstLine="480"/>
        <w:jc w:val="both"/>
      </w:pPr>
      <w:r>
        <w:rPr>
          <w:rFonts w:ascii="Times New Roman" w:hAnsi="Times New Roman" w:eastAsia="SimSun"/>
          <w:b w:val="0"/>
          <w:i w:val="0"/>
          <w:sz w:val="24"/>
        </w:rPr>
        <w:t>医疗影像分类作为计算机辅助诊断（Computer-Aided Diagnosis, CAD）系统的核心环节，近年来受到学术界与工业界的广泛关注。早期的CAD系统主要依赖手工设计的特征算子如尺度不变特征变换（Scale-Invariant Feature Transform, SIFT）和局部二值模式（Local Binary Patterns, LBP），结合支持向量机（Support Vector Machine, SVM等传统机器学习算法进行分类[36]。这类方法严重依赖专家知识进行特征工程，泛化能力较弱，难以适应复杂多变的临床场景。随着深度学习的兴起，基于数据驱动的端到端分类模型逐渐成为主流。LeCun等人提出的卷积神经网络奠定了图像识别的基础，而Krizhevsky等人提出的AlexNet则在ImageNet竞赛中确立了深度CNN的主导地位[37]。</w:t>
      </w:r>
    </w:p>
    <w:p>
      <w:pPr>
        <w:spacing w:line="440" w:lineRule="exact" w:before="0" w:after="0"/>
        <w:ind w:firstLine="480"/>
        <w:jc w:val="both"/>
      </w:pPr>
      <w:r>
        <w:rPr>
          <w:rFonts w:ascii="Times New Roman" w:hAnsi="Times New Roman" w:eastAsia="SimSun"/>
          <w:b w:val="0"/>
          <w:i w:val="0"/>
          <w:sz w:val="24"/>
        </w:rPr>
        <w:t>在通用骨干网络方面，VGGNet通过增加网络深度提升了特征表达能力，但参数量巨大导致计算成本高昂。GoogleNet引入Inception模块，在保证精度的同时大幅降低了计算量。He等人提出的残差网络（ResNet）通过引入跳跃连接解决了深层网络中的梯度消失问题使得训练数百层的深层网络成为可能，成为当前医疗影像分析中最常用的骨干网络之一[38]。尽管ResNet在各类图像任务中表现优异，但在医疗影像应用中仍存在局限性。医疗影像通常具有高分辨率、低信噪比及病灶细微等特点，标准ResNet在下采样过程中容易丢失空间细节信息，且对背景噪声抑制能力不足。为此，研究者开始尝试在网络中嵌入注意力机制。Woo等人提出的卷积块注意力模块（Convolutional Block Attention Module, CBAM）结合了通道注意力与空间注意力，能够自适应地细化特征图，显著提升了模型对关键区域的关注能力[39]。已有研究表明，将CBAM集成至ResNet中，可有效增强肺部结节、乳腺肿块等微小病灶的特征表示。</w:t>
      </w:r>
    </w:p>
    <w:p>
      <w:pPr>
        <w:spacing w:line="440" w:lineRule="exact" w:before="0" w:after="0"/>
        <w:ind w:firstLine="480"/>
        <w:jc w:val="both"/>
      </w:pPr>
      <w:r>
        <w:rPr>
          <w:rFonts w:ascii="Times New Roman" w:hAnsi="Times New Roman" w:eastAsia="SimSun"/>
          <w:b w:val="0"/>
          <w:i w:val="0"/>
          <w:sz w:val="24"/>
        </w:rPr>
        <w:t>针对医疗数据普遍存在的类别不平衡问题，损失函数的优化是另一大研究热点。传统交叉熵损失函数假设各类别样本均衡，导致模型在训练过程中被多数类主导，对少数类（即患病样本）的学习不充分。Lin等人提出的Focal Loss通过引入调制因子，动态降低易分类样本的权重，使模型聚焦于难分样本和少数类样本，从而有效缓解了类别不平衡带来的偏差[40]。在皮肤癌分类、视网膜病变检测等任务中，Focal Loss已被证明能显著提升模型的召回率与整体性能。</w:t>
      </w:r>
    </w:p>
    <w:p>
      <w:pPr>
        <w:spacing w:line="440" w:lineRule="exact" w:before="0" w:after="0"/>
        <w:ind w:firstLine="480"/>
        <w:jc w:val="both"/>
      </w:pPr>
      <w:r>
        <w:rPr>
          <w:rFonts w:ascii="Times New Roman" w:hAnsi="Times New Roman" w:eastAsia="SimSun"/>
          <w:b w:val="0"/>
          <w:i w:val="0"/>
          <w:sz w:val="24"/>
        </w:rPr>
        <w:t>综上所述，虽然基于深度学习的医疗影像分类研究已取得丰硕成果，但仍存在以下不足：首先，多数研究仅单一改进网络结构或损失函数，缺乏对特征提取与分类决策协同优化的系统性研究；其次，现有改进模型在复杂背景下的鲁棒性仍有提升空间，特别是在抑制非病灶区域干扰方面；最后，针对特定医疗数据集的超参数调优与迁移学习策略尚需深入探讨。鉴于此，本研究拟结合CBAM注意力机制与Focal Loss损失函数，对ResNet进行全方位改进，以期在保持模型轻量化的同时，进一步提升分类精度与泛化能力。</w:t>
      </w:r>
    </w:p>
    <w:p>
      <w:pPr>
        <w:pStyle w:val="Heading2"/>
        <w:spacing w:line="440" w:lineRule="exact"/>
      </w:pPr>
      <w:r>
        <w:rPr>
          <w:rFonts w:ascii="Times New Roman" w:hAnsi="Times New Roman" w:eastAsia="SimHei"/>
          <w:b/>
          <w:i w:val="0"/>
          <w:color w:val="000000"/>
          <w:sz w:val="28"/>
        </w:rPr>
        <w:t>1.3 主要研究内容</w:t>
      </w:r>
    </w:p>
    <w:p>
      <w:pPr>
        <w:spacing w:line="440" w:lineRule="exact" w:before="0" w:after="0"/>
        <w:ind w:firstLine="480"/>
        <w:jc w:val="both"/>
      </w:pPr>
      <w:r>
        <w:rPr>
          <w:rFonts w:ascii="Times New Roman" w:hAnsi="Times New Roman" w:eastAsia="SimSun"/>
          <w:b w:val="0"/>
          <w:i w:val="0"/>
          <w:sz w:val="24"/>
        </w:rPr>
        <w:t>针对现有医疗影像分类算法在病灶特征提取不充分及类别不平衡处理上的不足，本研究以ResNet50为基准模型，开展基于改进ResNet的医疗影像分类算法研究与应用。主要研究内容包括以下三个方面：</w:t>
      </w:r>
    </w:p>
    <w:p>
      <w:pPr>
        <w:spacing w:line="440" w:lineRule="exact" w:before="0" w:after="0"/>
        <w:ind w:firstLine="480"/>
        <w:jc w:val="both"/>
      </w:pPr>
      <w:r>
        <w:rPr>
          <w:rFonts w:ascii="Times New Roman" w:hAnsi="Times New Roman" w:eastAsia="SimSun"/>
          <w:b w:val="0"/>
          <w:i w:val="0"/>
          <w:sz w:val="24"/>
        </w:rPr>
        <w:t>第一，构建嵌入CBAM注意力机制的改进ResNet骨干网络。针对医疗影像中病灶区域微小且背景复杂的问题，在ResNet50的残差块后嵌入卷积块注意力模块（CBAM）。通过通道注意力子模块筛选出包含关键病灶信息的特征通道，抑制无关背景通道的响应；通过空间注意力子模块定位病灶的具体空间位置，增强模型对感兴趣区域（Region of Interest, ROI）的关注度。该改进旨在解决传统CNN在下采样过程中空间信息丢失及特征响应分散的问题，提升模型对细微病变特征的捕获能力。</w:t>
      </w:r>
    </w:p>
    <w:p>
      <w:pPr>
        <w:spacing w:line="440" w:lineRule="exact" w:before="0" w:after="0"/>
        <w:ind w:firstLine="480"/>
        <w:jc w:val="both"/>
      </w:pPr>
      <w:r>
        <w:rPr>
          <w:rFonts w:ascii="Times New Roman" w:hAnsi="Times New Roman" w:eastAsia="SimSun"/>
          <w:b w:val="0"/>
          <w:i w:val="0"/>
          <w:sz w:val="24"/>
        </w:rPr>
        <w:t>第二，设计基于Focal Loss的损失函数优化策略。针对医疗数据集中正常样本远多于患病样本导致的类别不平衡问题，引入Focal Loss替代传统的交叉熵损失函数。通过调整聚焦参数gamma与平衡参数alpha，动态降低大量简单负样本（正常组织）在训练过程中的权重贡献，迫使模型专注于难分样本及少数类正样本（病灶区域）的学习。该策略旨在改善模型在不平衡数据集上的收敛特性，提高对患病类别的识别敏感度，降低漏诊率。</w:t>
      </w:r>
    </w:p>
    <w:p>
      <w:pPr>
        <w:spacing w:line="440" w:lineRule="exact" w:before="0" w:after="0"/>
        <w:ind w:firstLine="480"/>
        <w:jc w:val="both"/>
      </w:pPr>
      <w:r>
        <w:rPr>
          <w:rFonts w:ascii="Times New Roman" w:hAnsi="Times New Roman" w:eastAsia="SimSun"/>
          <w:b w:val="0"/>
          <w:i w:val="0"/>
          <w:sz w:val="24"/>
        </w:rPr>
        <w:t>第三，开展系统性实验验证与应用评估。选取公开的医疗影像数据集（如 ChestX-ray14 或 ISIC 皮肤镜图像数据集）进行实验。通过对比实验，验证改进算法相较于原始ResNet及其他主流模型在准确率、召回率、F1值及AUC等指标上的性能优势。通过消融实验，分别量化CBAM模块与Focal Loss对模型性能的贡献度。此外，利用Grad-CAM可视化技术生成热力图，直观展示模型关注的病灶区域，验证算法的可解释性，确保其符合临床诊断逻辑。</w:t>
      </w:r>
    </w:p>
    <w:p>
      <w:pPr>
        <w:pStyle w:val="Heading2"/>
        <w:spacing w:line="440" w:lineRule="exact"/>
      </w:pPr>
      <w:r>
        <w:rPr>
          <w:rFonts w:ascii="Times New Roman" w:hAnsi="Times New Roman" w:eastAsia="SimHei"/>
          <w:b/>
          <w:i w:val="0"/>
          <w:color w:val="000000"/>
          <w:sz w:val="28"/>
        </w:rPr>
        <w:t>1.4 论文组织结构</w:t>
      </w:r>
    </w:p>
    <w:p>
      <w:pPr>
        <w:spacing w:line="440" w:lineRule="exact" w:before="0" w:after="0"/>
        <w:ind w:firstLine="480"/>
        <w:jc w:val="both"/>
      </w:pPr>
      <w:r>
        <w:rPr>
          <w:rFonts w:ascii="Times New Roman" w:hAnsi="Times New Roman" w:eastAsia="SimSun"/>
          <w:b w:val="0"/>
          <w:i w:val="0"/>
          <w:sz w:val="24"/>
        </w:rPr>
        <w:t>本论文共分为五章，各章节内容安排如下：</w:t>
      </w:r>
    </w:p>
    <w:p>
      <w:pPr>
        <w:spacing w:line="440" w:lineRule="exact" w:before="0" w:after="0"/>
        <w:ind w:firstLine="480"/>
        <w:jc w:val="both"/>
      </w:pPr>
      <w:r>
        <w:rPr>
          <w:rFonts w:ascii="Times New Roman" w:hAnsi="Times New Roman" w:eastAsia="SimSun"/>
          <w:b w:val="0"/>
          <w:i w:val="0"/>
          <w:sz w:val="24"/>
        </w:rPr>
        <w:t>第一章为绪论。阐述研究背景与意义，梳理国内外在深度学习医疗影像分类领域的研究现状，指出当前存在的问题与研究空白，明确本文的主要研究内容与目标，并介绍论文的整体组织结构。</w:t>
      </w:r>
    </w:p>
    <w:p>
      <w:pPr>
        <w:spacing w:line="440" w:lineRule="exact" w:before="0" w:after="0"/>
        <w:ind w:firstLine="480"/>
        <w:jc w:val="both"/>
      </w:pPr>
      <w:r>
        <w:rPr>
          <w:rFonts w:ascii="Times New Roman" w:hAnsi="Times New Roman" w:eastAsia="SimSun"/>
          <w:b w:val="0"/>
          <w:i w:val="0"/>
          <w:sz w:val="24"/>
        </w:rPr>
        <w:t>第二章为相关理论与技术基础。详细介绍深度学习与卷积神经网络的基本原理，重点分析经典CNN模型如VGG、ResNet的结构特点及其优缺点。同时，深入探讨医疗影像分类的特殊性，包括数据噪声、类别不平衡及小目标检测等挑战，为后续算法设计奠定理论基础。</w:t>
      </w:r>
    </w:p>
    <w:p>
      <w:pPr>
        <w:spacing w:line="440" w:lineRule="exact" w:before="0" w:after="0"/>
        <w:ind w:firstLine="480"/>
        <w:jc w:val="both"/>
      </w:pPr>
      <w:r>
        <w:rPr>
          <w:rFonts w:ascii="Times New Roman" w:hAnsi="Times New Roman" w:eastAsia="SimSun"/>
          <w:b w:val="0"/>
          <w:i w:val="0"/>
          <w:sz w:val="24"/>
        </w:rPr>
        <w:t>第三章为基于改进ResNet的医疗影像分类算法设计。详细阐述改进算法的总体架构，重点解析CBAM注意力机制在ResNet中的嵌入方式及其作用机理，推导基于Focal Loss的损失函数优化过程，并从理论层面分析改进策略的有效性。</w:t>
      </w:r>
    </w:p>
    <w:p>
      <w:pPr>
        <w:spacing w:line="440" w:lineRule="exact" w:before="0" w:after="0"/>
        <w:ind w:firstLine="480"/>
        <w:jc w:val="both"/>
      </w:pPr>
      <w:r>
        <w:rPr>
          <w:rFonts w:ascii="Times New Roman" w:hAnsi="Times New Roman" w:eastAsia="SimSun"/>
          <w:b w:val="0"/>
          <w:i w:val="0"/>
          <w:sz w:val="24"/>
        </w:rPr>
        <w:t>第四章为实验结果与分析。介绍实验环境、数据集预处理流程及评价指标体系。展示对比实验、消融实验的结果，通过定量数据与定性可视化分析，全面评估改进算法的性能，并与现有主流方法进行横向比较。</w:t>
      </w:r>
    </w:p>
    <w:p>
      <w:pPr>
        <w:spacing w:line="440" w:lineRule="exact" w:before="0" w:after="0"/>
        <w:ind w:firstLine="480"/>
        <w:jc w:val="both"/>
      </w:pPr>
      <w:r>
        <w:rPr>
          <w:rFonts w:ascii="Times New Roman" w:hAnsi="Times New Roman" w:eastAsia="SimSun"/>
          <w:b w:val="0"/>
          <w:i w:val="0"/>
          <w:sz w:val="24"/>
        </w:rPr>
        <w:t>第五章为总结与展望。概括全文的研究工作与主要创新点，客观分析研究中存在的局限性与不足，并对未来医疗影像智能分析的发展方向提出展望。</w:t>
      </w:r>
    </w:p>
    <w:p>
      <w:pPr>
        <w:pStyle w:val="Heading1"/>
        <w:spacing w:line="480" w:lineRule="exact"/>
      </w:pPr>
      <w:r>
        <w:rPr>
          <w:rFonts w:ascii="Times New Roman" w:hAnsi="Times New Roman" w:eastAsia="SimHei"/>
          <w:b/>
          <w:i w:val="0"/>
          <w:color w:val="000000"/>
          <w:sz w:val="32"/>
        </w:rPr>
        <w:t>第2章 相关理论与技术基础</w:t>
      </w:r>
    </w:p>
    <w:p>
      <w:pPr>
        <w:pStyle w:val="Heading2"/>
        <w:spacing w:line="440" w:lineRule="exact"/>
      </w:pPr>
      <w:r>
        <w:rPr>
          <w:rFonts w:ascii="Times New Roman" w:hAnsi="Times New Roman" w:eastAsia="SimHei"/>
          <w:b/>
          <w:i w:val="0"/>
          <w:color w:val="000000"/>
          <w:sz w:val="28"/>
        </w:rPr>
        <w:t>2.1 深度学习与卷积神经网络概述</w:t>
      </w:r>
    </w:p>
    <w:p>
      <w:pPr>
        <w:spacing w:line="440" w:lineRule="exact" w:before="0" w:after="0"/>
        <w:ind w:firstLine="480"/>
        <w:jc w:val="both"/>
      </w:pPr>
      <w:r>
        <w:rPr>
          <w:rFonts w:ascii="Times New Roman" w:hAnsi="Times New Roman" w:eastAsia="SimSun"/>
          <w:b w:val="0"/>
          <w:i w:val="0"/>
          <w:sz w:val="24"/>
        </w:rPr>
        <w:t>本章作为论文的理论基石，旨在系统梳理支撑本研究的核心技术与理论框架。在绪论阐述了医疗影像智能诊断的研究背景与意义后，本章将深入探讨深度学习的基本原理，重点分析卷积神经网络（Convolutional Neural Network, CNN）的运作机制及其在图像处理领域的优势。同时，结合医疗影像数据的特殊性，剖析当前通用模型在实际应用中面临的挑战，为第3章提出的改进ResNet算法设计提供坚实的理论依据和技术支撑。</w:t>
      </w:r>
    </w:p>
    <w:p>
      <w:pPr>
        <w:spacing w:line="440" w:lineRule="exact" w:before="0" w:after="0"/>
        <w:ind w:firstLine="480"/>
        <w:jc w:val="both"/>
      </w:pPr>
      <w:r>
        <w:rPr>
          <w:rFonts w:ascii="Times New Roman" w:hAnsi="Times New Roman" w:eastAsia="SimSun"/>
          <w:b w:val="0"/>
          <w:i w:val="0"/>
          <w:sz w:val="24"/>
        </w:rPr>
        <w:t>深度学习（Deep Learning）是机器学习的一个子领域，其核心思想是通过构建多层非线性变换结构，从原始数据中自动学习多层次的特征表示[41]。与传统机器学习方法依赖人工设计特征不同，深度学习能够端到端地实现从输入数据到输出标签的映射，极大地降低了特征工程的复杂度。在计算机视觉任务中，卷积神经网络因其卓越的局部感知和权值共享特性，成为处理图像数据的首选架构。CNN通过卷积层提取局部空间特征，池化层降低维度并增强平移不变性，全连接层整合全局信息进行分类决策，形成了完整的特征提取与分类流水线[42]。</w:t>
      </w:r>
    </w:p>
    <w:p>
      <w:pPr>
        <w:spacing w:line="440" w:lineRule="exact" w:before="0" w:after="0"/>
        <w:ind w:firstLine="480"/>
        <w:jc w:val="both"/>
      </w:pPr>
      <w:r>
        <w:rPr>
          <w:rFonts w:ascii="Times New Roman" w:hAnsi="Times New Roman" w:eastAsia="SimSun"/>
          <w:b w:val="0"/>
          <w:i w:val="0"/>
          <w:sz w:val="24"/>
        </w:rPr>
        <w:t>卷积操作是CNN的核心组件，它利用卷积核在输入图像上滑动进行加权求和，从而捕捉边缘、纹理等低级特征以及形状、物体部件等高级语义特征[43]。随着网络深度的增加，感受野（Receptive Field）逐渐扩大，使得深层神经元能够覆盖更大的图像区域，进而理解更复杂的上下文信息。然而，深层网络也带来了梯度消失和梯度爆炸问题，导致训练困难。残差网络（Residual Network, ResNet）通过引入跳跃连接（Skip Connection），允许梯度直接反向传播至浅层，有效解决了退化问题，使得训练数百甚至上千层的深度网络成为可能[44]。这一突破为后续在医疗影像这种高复杂度数据上的应用奠定了基础。</w:t>
      </w:r>
    </w:p>
    <w:p>
      <w:pPr>
        <w:spacing w:line="440" w:lineRule="exact" w:before="0" w:after="0"/>
        <w:ind w:firstLine="480"/>
        <w:jc w:val="both"/>
      </w:pPr>
      <w:r>
        <w:rPr>
          <w:rFonts w:ascii="Times New Roman" w:hAnsi="Times New Roman" w:eastAsia="SimSun"/>
          <w:b w:val="0"/>
          <w:i w:val="0"/>
          <w:sz w:val="24"/>
        </w:rPr>
        <w:t>此外，激活函数在神经网络中引入非线性因素，决定了网络的表达能力。常用的ReLU（Rectified Linear Unit）激活函数因计算简单且能缓解梯度消失而被广泛采用，但在负区间存在“死神经元”现象。近年来，Leaky ReLU、ELU等变体被提出以优化这一问题。在医疗影像分类任务中，选择合适的激活函数对于保持微弱病灶信号的敏感性至关重要。综上所述，深度学习特别是CNN的发展，为自动化医疗影像分析提供了强大的工具，但如何针对特定领域需求优化网络结构，仍是本研究需要解决的关键问题。</w:t>
      </w:r>
    </w:p>
    <w:p>
      <w:pPr>
        <w:pStyle w:val="Heading2"/>
        <w:spacing w:line="440" w:lineRule="exact"/>
      </w:pPr>
      <w:r>
        <w:rPr>
          <w:rFonts w:ascii="Times New Roman" w:hAnsi="Times New Roman" w:eastAsia="SimHei"/>
          <w:b/>
          <w:i w:val="0"/>
          <w:color w:val="000000"/>
          <w:sz w:val="28"/>
        </w:rPr>
        <w:t>2.2 经典卷积神经网络模型分析</w:t>
      </w:r>
    </w:p>
    <w:p>
      <w:pPr>
        <w:spacing w:line="440" w:lineRule="exact" w:before="0" w:after="0"/>
        <w:ind w:firstLine="480"/>
        <w:jc w:val="both"/>
      </w:pPr>
      <w:r>
        <w:rPr>
          <w:rFonts w:ascii="Times New Roman" w:hAnsi="Times New Roman" w:eastAsia="SimSun"/>
          <w:b w:val="0"/>
          <w:i w:val="0"/>
          <w:sz w:val="24"/>
        </w:rPr>
        <w:t>自AlexNet在2012年ImageNet竞赛中取得突破性成果以来，卷积神经网络架构经历了快速演进。本节重点分析几种具有代表性的经典模型，探讨其设计哲学及其对本研究的启示。AlexNet首次证明了深层CNN在大规模图像识别中的有效性，引入了ReLU激活函数、Dropout正则化和数据增强技术[45]。尽管其结构相对简单，但奠定了现代CNN的基础范式。随后，VGGNet通过堆叠多个3×3小卷积核替代大卷积核，在减少参数量的同时增加了网络深度和非线性变换次数，提升了特征提取的精细度[46]。</w:t>
      </w:r>
    </w:p>
    <w:p>
      <w:pPr>
        <w:spacing w:line="440" w:lineRule="exact" w:before="0" w:after="0"/>
        <w:ind w:firstLine="480"/>
        <w:jc w:val="both"/>
      </w:pPr>
      <w:r>
        <w:rPr>
          <w:rFonts w:ascii="Times New Roman" w:hAnsi="Times New Roman" w:eastAsia="SimSun"/>
          <w:b w:val="0"/>
          <w:i w:val="0"/>
          <w:sz w:val="24"/>
        </w:rPr>
        <w:t>GoogLeNet（Inception v1）提出了Inception模块，通过并行使用不同尺寸的卷积核（1×1, 3×3, 5×5）和池化层，捕获多尺度特征，并利用1×1卷积进行降维以控制计算成本[47]。这种多分支结构增强了模型对图像中不同大小目标的适应能力，对于医疗影像中病灶尺寸多变的情况具有借鉴意义。然而，Inception模块结构复杂，难以灵活调整深度。相比之下，ResNet通过残差学习框架彻底改变了深度网络的设计思路。其基本单元残差块（Residual Block）包含两个或三个卷积层，并通过恒等映射将输入直接加到输出上，即 $H(x) = F(x) + x$ [44]。这种设计确保了在网络加深时，性能至少不会低于浅层网络，从而实现了极深网络的稳定训练。</w:t>
      </w:r>
    </w:p>
    <w:p>
      <w:pPr>
        <w:spacing w:line="440" w:lineRule="exact" w:before="0" w:after="0"/>
        <w:ind w:firstLine="480"/>
        <w:jc w:val="both"/>
      </w:pPr>
      <w:r>
        <w:rPr>
          <w:rFonts w:ascii="Times New Roman" w:hAnsi="Times New Roman" w:eastAsia="SimSun"/>
          <w:b w:val="0"/>
          <w:i w:val="0"/>
          <w:sz w:val="24"/>
        </w:rPr>
        <w:t>在本研究选择的ResNet50骨干网络中，采用了瓶颈结构（Bottleneck Structure），即由1×1、3×3、1×1三个卷积层组成。中间的3×3卷积层负责空间特征提取，两端的1×1卷积层分别用于降维和升维，显著减少了计算量和参数量[48]。表2.1展示了ResNet50与其他经典模型的参数对比。可以看出，ResNet50在保持较高精度的同时，参数量和计算复杂度处于合理范围，适合在有限的医疗计算资源内部署。此外，ResNet的模块化设计便于嵌入注意力机制等改进模块，这为第3章提出的融合CBAM（Convolutional Block Attention Module）的改进方案提供了良好的架构兼容性。</w:t>
      </w:r>
    </w:p>
    <w:p>
      <w:pPr>
        <w:spacing w:line="440" w:lineRule="exact" w:before="240" w:after="120"/>
        <w:jc w:val="center"/>
      </w:pPr>
      <w:r>
        <w:rPr>
          <w:rFonts w:ascii="Times New Roman" w:hAnsi="Times New Roman" w:eastAsia="SimSun"/>
          <w:b w:val="0"/>
          <w:i w:val="0"/>
          <w:sz w:val="24"/>
        </w:rPr>
        <w:t>表2.1 经典卷积神经网络模型性能与复杂度对比</w:t>
      </w:r>
    </w:p>
    <w:tbl>
      <w:tblPr>
        <w:tblW w:type="auto" w:w="0"/>
        <w:tblLook w:firstColumn="1" w:firstRow="1" w:lastColumn="0" w:lastRow="0" w:noHBand="0" w:noVBand="1" w:val="04A0"/>
        <w:tblBorders>
          <w:top w:val="single" w:sz="12" w:color="auto" w:space="0"/>
          <w:bottom w:val="single" w:sz="12" w:color="auto" w:space="0"/>
          <w:left w:val="none" w:sz="0" w:color="auto" w:space="0"/>
          <w:right w:val="none" w:sz="0" w:color="auto" w:space="0"/>
          <w:insideH w:val="none" w:sz="0" w:color="auto" w:space="0"/>
          <w:insideV w:val="none" w:sz="0" w:color="auto" w:space="0"/>
        </w:tblBorders>
      </w:tblPr>
      <w:tblGrid>
        <w:gridCol w:w="1758"/>
        <w:gridCol w:w="1758"/>
        <w:gridCol w:w="1758"/>
        <w:gridCol w:w="1758"/>
        <w:gridCol w:w="1758"/>
      </w:tblGrid>
      <w:tr>
        <w:tc>
          <w:tcPr>
            <w:tcW w:type="dxa" w:w="1758"/>
            <w:tcBorders>
              <w:bottom w:val="single" w:sz="6" w:color="auto" w:space="0"/>
            </w:tcBorders>
          </w:tcPr>
          <w:p>
            <w:pPr>
              <w:jc w:val="center"/>
            </w:pPr>
            <w:r/>
            <w:r>
              <w:rPr>
                <w:rFonts w:ascii="Times New Roman" w:hAnsi="Times New Roman" w:eastAsia="SimSun"/>
                <w:b/>
                <w:i w:val="0"/>
                <w:sz w:val="21"/>
              </w:rPr>
              <w:t>模型</w:t>
            </w:r>
          </w:p>
        </w:tc>
        <w:tc>
          <w:tcPr>
            <w:tcW w:type="dxa" w:w="1758"/>
            <w:tcBorders>
              <w:bottom w:val="single" w:sz="6" w:color="auto" w:space="0"/>
            </w:tcBorders>
          </w:tcPr>
          <w:p>
            <w:pPr>
              <w:jc w:val="center"/>
            </w:pPr>
            <w:r/>
            <w:r>
              <w:rPr>
                <w:rFonts w:ascii="Times New Roman" w:hAnsi="Times New Roman" w:eastAsia="SimSun"/>
                <w:b/>
                <w:i w:val="0"/>
                <w:sz w:val="21"/>
              </w:rPr>
              <w:t>层数</w:t>
            </w:r>
          </w:p>
        </w:tc>
        <w:tc>
          <w:tcPr>
            <w:tcW w:type="dxa" w:w="1758"/>
            <w:tcBorders>
              <w:bottom w:val="single" w:sz="6" w:color="auto" w:space="0"/>
            </w:tcBorders>
          </w:tcPr>
          <w:p>
            <w:pPr>
              <w:jc w:val="center"/>
            </w:pPr>
            <w:r/>
            <w:r>
              <w:rPr>
                <w:rFonts w:ascii="Times New Roman" w:hAnsi="Times New Roman" w:eastAsia="SimSun"/>
                <w:b/>
                <w:i w:val="0"/>
                <w:sz w:val="21"/>
              </w:rPr>
              <w:t>参数量 (M)</w:t>
            </w:r>
          </w:p>
        </w:tc>
        <w:tc>
          <w:tcPr>
            <w:tcW w:type="dxa" w:w="1758"/>
            <w:tcBorders>
              <w:bottom w:val="single" w:sz="6" w:color="auto" w:space="0"/>
            </w:tcBorders>
          </w:tcPr>
          <w:p>
            <w:pPr>
              <w:jc w:val="center"/>
            </w:pPr>
            <w:r/>
            <w:r>
              <w:rPr>
                <w:rFonts w:ascii="Times New Roman" w:hAnsi="Times New Roman" w:eastAsia="SimSun"/>
                <w:b/>
                <w:i w:val="0"/>
                <w:sz w:val="21"/>
              </w:rPr>
              <w:t>Top-1 准确率 (%)</w:t>
            </w:r>
          </w:p>
        </w:tc>
        <w:tc>
          <w:tcPr>
            <w:tcW w:type="dxa" w:w="1758"/>
            <w:tcBorders>
              <w:bottom w:val="single" w:sz="6" w:color="auto" w:space="0"/>
            </w:tcBorders>
          </w:tcPr>
          <w:p>
            <w:pPr>
              <w:jc w:val="center"/>
            </w:pPr>
            <w:r/>
            <w:r>
              <w:rPr>
                <w:rFonts w:ascii="Times New Roman" w:hAnsi="Times New Roman" w:eastAsia="SimSun"/>
                <w:b/>
                <w:i w:val="0"/>
                <w:sz w:val="21"/>
              </w:rPr>
              <w:t>特点</w:t>
            </w:r>
          </w:p>
        </w:tc>
      </w:tr>
      <w:tr>
        <w:tc>
          <w:tcPr>
            <w:tcW w:type="dxa" w:w="1758"/>
          </w:tcPr>
          <w:p>
            <w:pPr>
              <w:jc w:val="center"/>
            </w:pPr>
            <w:r/>
            <w:r>
              <w:rPr>
                <w:rFonts w:ascii="Times New Roman" w:hAnsi="Times New Roman" w:eastAsia="SimSun"/>
                <w:b w:val="0"/>
                <w:i w:val="0"/>
                <w:sz w:val="21"/>
              </w:rPr>
              <w:t>VGG16</w:t>
            </w:r>
          </w:p>
        </w:tc>
        <w:tc>
          <w:tcPr>
            <w:tcW w:type="dxa" w:w="1758"/>
          </w:tcPr>
          <w:p>
            <w:pPr>
              <w:jc w:val="center"/>
            </w:pPr>
            <w:r/>
            <w:r>
              <w:rPr>
                <w:rFonts w:ascii="Times New Roman" w:hAnsi="Times New Roman" w:eastAsia="SimSun"/>
                <w:b w:val="0"/>
                <w:i w:val="0"/>
                <w:sz w:val="21"/>
              </w:rPr>
              <w:t>16</w:t>
            </w:r>
          </w:p>
        </w:tc>
        <w:tc>
          <w:tcPr>
            <w:tcW w:type="dxa" w:w="1758"/>
          </w:tcPr>
          <w:p>
            <w:pPr>
              <w:jc w:val="center"/>
            </w:pPr>
            <w:r/>
            <w:r>
              <w:rPr>
                <w:rFonts w:ascii="Times New Roman" w:hAnsi="Times New Roman" w:eastAsia="SimSun"/>
                <w:b w:val="0"/>
                <w:i w:val="0"/>
                <w:sz w:val="21"/>
              </w:rPr>
              <w:t>138</w:t>
            </w:r>
          </w:p>
        </w:tc>
        <w:tc>
          <w:tcPr>
            <w:tcW w:type="dxa" w:w="1758"/>
          </w:tcPr>
          <w:p>
            <w:pPr>
              <w:jc w:val="center"/>
            </w:pPr>
            <w:r/>
            <w:r>
              <w:rPr>
                <w:rFonts w:ascii="Times New Roman" w:hAnsi="Times New Roman" w:eastAsia="SimSun"/>
                <w:b w:val="0"/>
                <w:i w:val="0"/>
                <w:sz w:val="21"/>
              </w:rPr>
              <w:t>71.5</w:t>
            </w:r>
          </w:p>
        </w:tc>
        <w:tc>
          <w:tcPr>
            <w:tcW w:type="dxa" w:w="1758"/>
          </w:tcPr>
          <w:p>
            <w:pPr>
              <w:jc w:val="center"/>
            </w:pPr>
            <w:r/>
            <w:r>
              <w:rPr>
                <w:rFonts w:ascii="Times New Roman" w:hAnsi="Times New Roman" w:eastAsia="SimSun"/>
                <w:b w:val="0"/>
                <w:i w:val="0"/>
                <w:sz w:val="21"/>
              </w:rPr>
              <w:t>结构简单，参数量大</w:t>
            </w:r>
          </w:p>
        </w:tc>
      </w:tr>
      <w:tr>
        <w:tc>
          <w:tcPr>
            <w:tcW w:type="dxa" w:w="1758"/>
          </w:tcPr>
          <w:p>
            <w:pPr>
              <w:jc w:val="center"/>
            </w:pPr>
            <w:r/>
            <w:r>
              <w:rPr>
                <w:rFonts w:ascii="Times New Roman" w:hAnsi="Times New Roman" w:eastAsia="SimSun"/>
                <w:b w:val="0"/>
                <w:i w:val="0"/>
                <w:sz w:val="21"/>
              </w:rPr>
              <w:t>GoogLeNet</w:t>
            </w:r>
          </w:p>
        </w:tc>
        <w:tc>
          <w:tcPr>
            <w:tcW w:type="dxa" w:w="1758"/>
          </w:tcPr>
          <w:p>
            <w:pPr>
              <w:jc w:val="center"/>
            </w:pPr>
            <w:r/>
            <w:r>
              <w:rPr>
                <w:rFonts w:ascii="Times New Roman" w:hAnsi="Times New Roman" w:eastAsia="SimSun"/>
                <w:b w:val="0"/>
                <w:i w:val="0"/>
                <w:sz w:val="21"/>
              </w:rPr>
              <w:t>22</w:t>
            </w:r>
          </w:p>
        </w:tc>
        <w:tc>
          <w:tcPr>
            <w:tcW w:type="dxa" w:w="1758"/>
          </w:tcPr>
          <w:p>
            <w:pPr>
              <w:jc w:val="center"/>
            </w:pPr>
            <w:r/>
            <w:r>
              <w:rPr>
                <w:rFonts w:ascii="Times New Roman" w:hAnsi="Times New Roman" w:eastAsia="SimSun"/>
                <w:b w:val="0"/>
                <w:i w:val="0"/>
                <w:sz w:val="21"/>
              </w:rPr>
              <w:t>6.8</w:t>
            </w:r>
          </w:p>
        </w:tc>
        <w:tc>
          <w:tcPr>
            <w:tcW w:type="dxa" w:w="1758"/>
          </w:tcPr>
          <w:p>
            <w:pPr>
              <w:jc w:val="center"/>
            </w:pPr>
            <w:r/>
            <w:r>
              <w:rPr>
                <w:rFonts w:ascii="Times New Roman" w:hAnsi="Times New Roman" w:eastAsia="SimSun"/>
                <w:b w:val="0"/>
                <w:i w:val="0"/>
                <w:sz w:val="21"/>
              </w:rPr>
              <w:t>74.8</w:t>
            </w:r>
          </w:p>
        </w:tc>
        <w:tc>
          <w:tcPr>
            <w:tcW w:type="dxa" w:w="1758"/>
          </w:tcPr>
          <w:p>
            <w:pPr>
              <w:jc w:val="center"/>
            </w:pPr>
            <w:r/>
            <w:r>
              <w:rPr>
                <w:rFonts w:ascii="Times New Roman" w:hAnsi="Times New Roman" w:eastAsia="SimSun"/>
                <w:b w:val="0"/>
                <w:i w:val="0"/>
                <w:sz w:val="21"/>
              </w:rPr>
              <w:t>多尺度特征，结构复杂</w:t>
            </w:r>
          </w:p>
        </w:tc>
      </w:tr>
      <w:tr>
        <w:tc>
          <w:tcPr>
            <w:tcW w:type="dxa" w:w="1758"/>
          </w:tcPr>
          <w:p>
            <w:pPr>
              <w:jc w:val="center"/>
            </w:pPr>
            <w:r/>
            <w:r>
              <w:rPr>
                <w:rFonts w:ascii="Times New Roman" w:hAnsi="Times New Roman" w:eastAsia="SimSun"/>
                <w:b w:val="0"/>
                <w:i w:val="0"/>
                <w:sz w:val="21"/>
              </w:rPr>
              <w:t>ResNet50</w:t>
            </w:r>
          </w:p>
        </w:tc>
        <w:tc>
          <w:tcPr>
            <w:tcW w:type="dxa" w:w="1758"/>
          </w:tcPr>
          <w:p>
            <w:pPr>
              <w:jc w:val="center"/>
            </w:pPr>
            <w:r/>
            <w:r>
              <w:rPr>
                <w:rFonts w:ascii="Times New Roman" w:hAnsi="Times New Roman" w:eastAsia="SimSun"/>
                <w:b w:val="0"/>
                <w:i w:val="0"/>
                <w:sz w:val="21"/>
              </w:rPr>
              <w:t>50</w:t>
            </w:r>
          </w:p>
        </w:tc>
        <w:tc>
          <w:tcPr>
            <w:tcW w:type="dxa" w:w="1758"/>
          </w:tcPr>
          <w:p>
            <w:pPr>
              <w:jc w:val="center"/>
            </w:pPr>
            <w:r/>
            <w:r>
              <w:rPr>
                <w:rFonts w:ascii="Times New Roman" w:hAnsi="Times New Roman" w:eastAsia="SimSun"/>
                <w:b w:val="0"/>
                <w:i w:val="0"/>
                <w:sz w:val="21"/>
              </w:rPr>
              <w:t>25.6</w:t>
            </w:r>
          </w:p>
        </w:tc>
        <w:tc>
          <w:tcPr>
            <w:tcW w:type="dxa" w:w="1758"/>
          </w:tcPr>
          <w:p>
            <w:pPr>
              <w:jc w:val="center"/>
            </w:pPr>
            <w:r/>
            <w:r>
              <w:rPr>
                <w:rFonts w:ascii="Times New Roman" w:hAnsi="Times New Roman" w:eastAsia="SimSun"/>
                <w:b w:val="0"/>
                <w:i w:val="0"/>
                <w:sz w:val="21"/>
              </w:rPr>
              <w:t>76.1</w:t>
            </w:r>
          </w:p>
        </w:tc>
        <w:tc>
          <w:tcPr>
            <w:tcW w:type="dxa" w:w="1758"/>
          </w:tcPr>
          <w:p>
            <w:pPr>
              <w:jc w:val="center"/>
            </w:pPr>
            <w:r/>
            <w:r>
              <w:rPr>
                <w:rFonts w:ascii="Times New Roman" w:hAnsi="Times New Roman" w:eastAsia="SimSun"/>
                <w:b w:val="0"/>
                <w:i w:val="0"/>
                <w:sz w:val="21"/>
              </w:rPr>
              <w:t>残差连接，易于训练</w:t>
            </w:r>
          </w:p>
        </w:tc>
      </w:tr>
      <w:tr>
        <w:tc>
          <w:tcPr>
            <w:tcW w:type="dxa" w:w="1758"/>
          </w:tcPr>
          <w:p>
            <w:pPr>
              <w:jc w:val="center"/>
            </w:pPr>
            <w:r/>
            <w:r>
              <w:rPr>
                <w:rFonts w:ascii="Times New Roman" w:hAnsi="Times New Roman" w:eastAsia="SimSun"/>
                <w:b w:val="0"/>
                <w:i w:val="0"/>
                <w:sz w:val="21"/>
              </w:rPr>
              <w:t>ResNet101</w:t>
            </w:r>
          </w:p>
        </w:tc>
        <w:tc>
          <w:tcPr>
            <w:tcW w:type="dxa" w:w="1758"/>
          </w:tcPr>
          <w:p>
            <w:pPr>
              <w:jc w:val="center"/>
            </w:pPr>
            <w:r/>
            <w:r>
              <w:rPr>
                <w:rFonts w:ascii="Times New Roman" w:hAnsi="Times New Roman" w:eastAsia="SimSun"/>
                <w:b w:val="0"/>
                <w:i w:val="0"/>
                <w:sz w:val="21"/>
              </w:rPr>
              <w:t>101</w:t>
            </w:r>
          </w:p>
        </w:tc>
        <w:tc>
          <w:tcPr>
            <w:tcW w:type="dxa" w:w="1758"/>
          </w:tcPr>
          <w:p>
            <w:pPr>
              <w:jc w:val="center"/>
            </w:pPr>
            <w:r/>
            <w:r>
              <w:rPr>
                <w:rFonts w:ascii="Times New Roman" w:hAnsi="Times New Roman" w:eastAsia="SimSun"/>
                <w:b w:val="0"/>
                <w:i w:val="0"/>
                <w:sz w:val="21"/>
              </w:rPr>
              <w:t>44.5</w:t>
            </w:r>
          </w:p>
        </w:tc>
        <w:tc>
          <w:tcPr>
            <w:tcW w:type="dxa" w:w="1758"/>
          </w:tcPr>
          <w:p>
            <w:pPr>
              <w:jc w:val="center"/>
            </w:pPr>
            <w:r/>
            <w:r>
              <w:rPr>
                <w:rFonts w:ascii="Times New Roman" w:hAnsi="Times New Roman" w:eastAsia="SimSun"/>
                <w:b w:val="0"/>
                <w:i w:val="0"/>
                <w:sz w:val="21"/>
              </w:rPr>
              <w:t>77.4</w:t>
            </w:r>
          </w:p>
        </w:tc>
        <w:tc>
          <w:tcPr>
            <w:tcW w:type="dxa" w:w="1758"/>
          </w:tcPr>
          <w:p>
            <w:pPr>
              <w:jc w:val="center"/>
            </w:pPr>
            <w:r/>
            <w:r>
              <w:rPr>
                <w:rFonts w:ascii="Times New Roman" w:hAnsi="Times New Roman" w:eastAsia="SimSun"/>
                <w:b w:val="0"/>
                <w:i w:val="0"/>
                <w:sz w:val="21"/>
              </w:rPr>
              <w:t>更深层次，精度更高</w:t>
            </w:r>
          </w:p>
        </w:tc>
      </w:tr>
    </w:tbl>
    <w:p>
      <w:pPr>
        <w:pStyle w:val="Heading2"/>
        <w:spacing w:line="440" w:lineRule="exact"/>
      </w:pPr>
      <w:r>
        <w:rPr>
          <w:rFonts w:ascii="Times New Roman" w:hAnsi="Times New Roman" w:eastAsia="SimHei"/>
          <w:b/>
          <w:i w:val="0"/>
          <w:color w:val="000000"/>
          <w:sz w:val="28"/>
        </w:rPr>
        <w:t>2.3 医疗影像分类的特殊性与挑战</w:t>
      </w:r>
    </w:p>
    <w:p>
      <w:pPr>
        <w:spacing w:line="440" w:lineRule="exact" w:before="0" w:after="0"/>
        <w:ind w:firstLine="480"/>
        <w:jc w:val="both"/>
      </w:pPr>
      <w:r>
        <w:rPr>
          <w:rFonts w:ascii="Times New Roman" w:hAnsi="Times New Roman" w:eastAsia="SimSun"/>
          <w:b w:val="0"/>
          <w:i w:val="0"/>
          <w:sz w:val="24"/>
        </w:rPr>
        <w:t>与自然图像相比，医疗影像具有独特的数据特征和临床约束，这给深度学习模型的应用带来了特殊挑战。首先，医疗影像通常具有高灰度分辨率和高空间分辨率，但感兴趣区域（Region of Interest, ROI）往往占比极小。例如，在胸部X光片中，微小结节可能仅占像素总数的0.1%以下[49]。这种极端的类别不平衡和前景背景比例失调，导致标准CNN容易忽略微小病灶，倾向于预测多数类（正常组织）。其次，医疗影像存在显著的类间相似性和类内差异性。不同疾病可能表现出相似的影像学特征（如肺炎与肺结核的浸润影），而同一疾病在不同患者身上又呈现多样化表现，这对模型的判别能力提出了极高要求[50]。</w:t>
      </w:r>
    </w:p>
    <w:p>
      <w:pPr>
        <w:spacing w:line="440" w:lineRule="exact" w:before="0" w:after="0"/>
        <w:ind w:firstLine="480"/>
        <w:jc w:val="both"/>
      </w:pPr>
      <w:r>
        <w:rPr>
          <w:rFonts w:ascii="Times New Roman" w:hAnsi="Times New Roman" w:eastAsia="SimSun"/>
          <w:b w:val="0"/>
          <w:i w:val="0"/>
          <w:sz w:val="24"/>
        </w:rPr>
        <w:t>数据稀缺与标注成本高是另一大难题。由于隐私保护法规和专业医生资源的限制，大规模高质量标注数据集难以获取。小样本条件下，深度模型极易过拟合，泛化能力下降。此外，医疗诊断对假阴性（漏诊）的容忍度极低，因此模型不仅需要具备高准确率，还需具备可解释性，以便医生信任并辅助决策[51]。传统的交叉熵损失函数在处理类别不平衡时表现不佳，因为它平等对待所有样本，导致易分类的背景样本主导梯度更新，掩盖了难分类病灶样本的贡献。</w:t>
      </w:r>
    </w:p>
    <w:p>
      <w:pPr>
        <w:spacing w:line="440" w:lineRule="exact" w:before="0" w:after="0"/>
        <w:ind w:firstLine="480"/>
        <w:jc w:val="both"/>
      </w:pPr>
      <w:r>
        <w:rPr>
          <w:rFonts w:ascii="Times New Roman" w:hAnsi="Times New Roman" w:eastAsia="SimSun"/>
          <w:b w:val="0"/>
          <w:i w:val="0"/>
          <w:sz w:val="24"/>
        </w:rPr>
        <w:t>针对上述挑战，本研究聚焦于两个关键改进方向：一是引入注意力机制，引导模型聚焦于关键病灶区域，抑制无关背景噪声；二是优化损失函数，采用Focal Loss动态调整样本权重，强化难例挖掘。这些改进旨在提升模型在复杂医疗场景下的鲁棒性和敏感性，确保算法在实际临床辅助诊断中的有效性。</w:t>
      </w:r>
    </w:p>
    <w:p>
      <w:pPr>
        <w:pStyle w:val="Heading2"/>
        <w:spacing w:line="440" w:lineRule="exact"/>
      </w:pPr>
      <w:r>
        <w:rPr>
          <w:rFonts w:ascii="Times New Roman" w:hAnsi="Times New Roman" w:eastAsia="SimHei"/>
          <w:b/>
          <w:i w:val="0"/>
          <w:color w:val="000000"/>
          <w:sz w:val="28"/>
        </w:rPr>
        <w:t>2.4 本章小结</w:t>
      </w:r>
    </w:p>
    <w:p>
      <w:pPr>
        <w:spacing w:line="440" w:lineRule="exact" w:before="0" w:after="0"/>
        <w:ind w:firstLine="480"/>
        <w:jc w:val="both"/>
      </w:pPr>
      <w:r>
        <w:rPr>
          <w:rFonts w:ascii="Times New Roman" w:hAnsi="Times New Roman" w:eastAsia="SimSun"/>
          <w:b w:val="0"/>
          <w:i w:val="0"/>
          <w:sz w:val="24"/>
        </w:rPr>
        <w:t>本章系统回顾了深度学习与卷积神经网络的理论基础，重点分析了ResNet等经典模型的结构特点及其在图像分类中的优势。通过对比VGG、GoogLeNet和ResNet，确立了ResNet50作为本研究骨干网络的合理性，因其兼具深度特征提取能力和训练稳定性。进一步，本章深入剖析了医疗影像分类面临的特殊性，包括病灶微小、类别不平衡、数据稀缺及高误诊代价等挑战。这些分析明确了现有通用模型在医疗场景下的局限性，指出了引入注意力机制以增强特征聚焦、优化损失函数以平衡样本权重的必要性。本章的理论梳理为第3章提出基于改进ResNet的医疗影像分类算法提供了明确的问题导向和技术路径，奠定了后续算法设计与实验验证的基础。</w:t>
      </w:r>
    </w:p>
    <w:p>
      <w:pPr>
        <w:pStyle w:val="Heading1"/>
        <w:spacing w:line="480" w:lineRule="exact"/>
      </w:pPr>
      <w:r>
        <w:rPr>
          <w:rFonts w:ascii="Times New Roman" w:hAnsi="Times New Roman" w:eastAsia="SimHei"/>
          <w:b/>
          <w:i w:val="0"/>
          <w:color w:val="000000"/>
          <w:sz w:val="32"/>
        </w:rPr>
        <w:t>第3章 基于改进ResNet的医疗影像分类算法设计</w:t>
      </w:r>
    </w:p>
    <w:p>
      <w:pPr>
        <w:pStyle w:val="Heading2"/>
        <w:spacing w:line="440" w:lineRule="exact"/>
      </w:pPr>
      <w:r>
        <w:rPr>
          <w:rFonts w:ascii="Times New Roman" w:hAnsi="Times New Roman" w:eastAsia="SimHei"/>
          <w:b/>
          <w:i w:val="0"/>
          <w:color w:val="000000"/>
          <w:sz w:val="28"/>
        </w:rPr>
        <w:t>3.1 算法总体架构设计</w:t>
      </w:r>
    </w:p>
    <w:p>
      <w:pPr>
        <w:spacing w:line="440" w:lineRule="exact" w:before="0" w:after="0"/>
        <w:ind w:firstLine="480"/>
        <w:jc w:val="both"/>
      </w:pPr>
      <w:r>
        <w:rPr>
          <w:rFonts w:ascii="Times New Roman" w:hAnsi="Times New Roman" w:eastAsia="SimSun"/>
          <w:b w:val="0"/>
          <w:i w:val="0"/>
          <w:sz w:val="24"/>
        </w:rPr>
        <w:t>在第二章对深度学习基础理论及医疗影像分类难点进行深入剖析的基础上，本章旨在提出一种针对医疗影像特征的高效分类算法。针对传统卷积神经网络在处理复杂医学图像时存在的背景噪声干扰大、微小病灶特征提取能力弱以及正负样本不平衡等问题，本研究设计了基于改进ResNet50的医疗影像分类模型。该模型以残差网络（Residual Network, ResNet）为骨干架构，通过引入卷积块注意力模块（Convolutional Block Attention Module, CBAM）增强关键特征的表达能力，并利用Focal Loss损失函数优化训练过程中的类别权重分配，从而构建一个端到端的自动化诊断辅助框架[52]。</w:t>
      </w:r>
    </w:p>
    <w:p>
      <w:pPr>
        <w:spacing w:line="440" w:lineRule="exact" w:before="0" w:after="0"/>
        <w:ind w:firstLine="480"/>
        <w:jc w:val="both"/>
      </w:pPr>
      <w:r>
        <w:rPr>
          <w:rFonts w:ascii="Times New Roman" w:hAnsi="Times New Roman" w:eastAsia="SimSun"/>
          <w:b w:val="0"/>
          <w:i w:val="0"/>
          <w:sz w:val="24"/>
        </w:rPr>
        <w:t>算法的总体架构遵循“特征提取—特征增强—分类决策”的逻辑流。首先，输入图像经过预处理后进入改进的ResNet50骨干网络。该网络由一个初始卷积层、四个阶段（Stage）的残差块组以及全局平均池化层组成。考虑到医疗影像中病灶区域往往占据图像比例较小且纹理复杂，单纯的深层卷积容易导致空间信息的丢失。因此，本研究在每个Stage的输出端嵌入CBAM模块，形成串行注意力机制，从通道和空间两个维度对特征图进行自适应加权[53]。这种设计使得模型能够自动聚焦于具有高诊断价值的病灶区域，同时抑制正常组织背景的响应。</w:t>
      </w:r>
    </w:p>
    <w:p>
      <w:pPr>
        <w:spacing w:line="440" w:lineRule="exact" w:before="0" w:after="0"/>
        <w:ind w:firstLine="480"/>
        <w:jc w:val="both"/>
      </w:pPr>
      <w:r>
        <w:rPr>
          <w:rFonts w:ascii="Times New Roman" w:hAnsi="Times New Roman" w:eastAsia="SimSun"/>
          <w:b w:val="0"/>
          <w:i w:val="0"/>
          <w:sz w:val="24"/>
        </w:rPr>
        <w:t>在特征提取与增强之后，网络通过全局平均池化层将多维特征图压缩为一维特征向量，随后接入全连接层进行高阶语义映射。为解决医疗数据集中常见的类别不平衡问题（如患病样本远少于健康样本），本研究在输出层之前引入Dropout正则化以防止过拟合，并在最终损失计算阶段采用Focal Loss替代标准的交叉熵损失函数。Focal Loss通过降低易分类样本的权重，迫使模型在训练过程中更多地关注难分样本和少数类样本，从而提升模型的整体泛化能力和鲁棒性[54]。整个架构的设计不仅保留了ResNet深层网络强大的特征抽象能力，还通过注意力机制和损失函数优化针对性地解决了医疗场景下的特定痛点。</w:t>
      </w:r>
    </w:p>
    <w:p>
      <w:pPr>
        <w:spacing w:before="240" w:after="120" w:line="240" w:lineRule="auto"/>
        <w:jc w:val="center"/>
      </w:pPr>
      <w:r>
        <w:drawing>
          <wp:inline xmlns:a="http://schemas.openxmlformats.org/drawingml/2006/main" xmlns:pic="http://schemas.openxmlformats.org/drawingml/2006/picture">
            <wp:extent cx="3657600" cy="3657600"/>
            <wp:docPr id="1" name="Picture 1"/>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3657600" cy="3657600"/>
                    </a:xfrm>
                    <a:prstGeom prst="rect"/>
                  </pic:spPr>
                </pic:pic>
              </a:graphicData>
            </a:graphic>
          </wp:inline>
        </w:drawing>
      </w:r>
    </w:p>
    <w:p>
      <w:pPr>
        <w:spacing w:line="440" w:lineRule="exact" w:before="120" w:after="240"/>
        <w:jc w:val="center"/>
      </w:pPr>
      <w:r>
        <w:rPr>
          <w:rFonts w:ascii="Times New Roman" w:hAnsi="Times New Roman" w:eastAsia="SimSun"/>
          <w:b w:val="0"/>
          <w:i w:val="0"/>
          <w:sz w:val="21"/>
        </w:rPr>
        <w:t>图3.1 基于改进ResNet的医疗影像分类算法总体架构图（黑白线条图风格，简洁框图，无装饰，无彩色）</w:t>
      </w:r>
    </w:p>
    <w:p>
      <w:pPr>
        <w:pStyle w:val="Heading2"/>
        <w:spacing w:line="440" w:lineRule="exact"/>
      </w:pPr>
      <w:r>
        <w:rPr>
          <w:rFonts w:ascii="Times New Roman" w:hAnsi="Times New Roman" w:eastAsia="SimHei"/>
          <w:b/>
          <w:i w:val="0"/>
          <w:color w:val="000000"/>
          <w:sz w:val="28"/>
        </w:rPr>
        <w:t>3.2 嵌入CBAM注意力机制的网络改进</w:t>
      </w:r>
    </w:p>
    <w:p>
      <w:pPr>
        <w:spacing w:line="440" w:lineRule="exact" w:before="0" w:after="0"/>
        <w:ind w:firstLine="480"/>
        <w:jc w:val="both"/>
      </w:pPr>
      <w:r>
        <w:rPr>
          <w:rFonts w:ascii="Times New Roman" w:hAnsi="Times New Roman" w:eastAsia="SimSun"/>
          <w:b w:val="0"/>
          <w:i w:val="0"/>
          <w:sz w:val="24"/>
        </w:rPr>
        <w:t>残差网络虽然通过跳跃连接有效缓解了深层网络的梯度消失问题，但在处理医疗影像时，其标准卷积操作对所有空间位置和通道赋予相同的权重，缺乏对显著性区域的甄别能力。为此，本研究在ResNet50的每个残差阶段末尾嵌入CBAM模块。CBAM是一种轻量级的通用注意力模块，它依次推断通道注意力和空间注意力，并将这两个注意力图与输入特征图相乘，从而实现特征的精炼[55]。这种串联结构比并行结构更利于梯度的传播和特征的逐步细化。</w:t>
      </w:r>
    </w:p>
    <w:p>
      <w:pPr>
        <w:spacing w:line="440" w:lineRule="exact" w:before="0" w:after="0"/>
        <w:ind w:firstLine="480"/>
        <w:jc w:val="both"/>
      </w:pPr>
      <w:r>
        <w:rPr>
          <w:rFonts w:ascii="Times New Roman" w:hAnsi="Times New Roman" w:eastAsia="SimSun"/>
          <w:b w:val="0"/>
          <w:i w:val="0"/>
          <w:sz w:val="24"/>
        </w:rPr>
        <w:t>通道注意力模块（Channel Attention Module, CAM）旨在捕捉“什么”是有意义的特征。给定输入特征图 $F \in R^{C \times H \times W}$，CAM首先分别对空间维度执行全局平均池化和全局最大池化操作，生成两个不同的空间上下文描述符：$F_{avg}^c$ 和 $F_{max}^c$。这两个描述符随后被送入一个共享的多层感知机（MLP），该MLP包含一个隐藏层，其激活函数为ReLU，输出层用于生成通道注意力图 $M_c \in R^{C \times 1 \times 1}$。具体而言，通道注意力图的计算过程可表示为：$M_c(F) = \sigma(MLP(AvgPool(F)) + MLP(MaxPool(F)))$，其中 $\sigma$ 表示Sigmoid激活函数[56]。通过这种方式，模型能够学习到不同通道特征的重要性，例如在肺部CT影像中，增强包含肺结节纹理的通道响应，而抑制血管或骨骼等无关结构的通道响应。</w:t>
      </w:r>
    </w:p>
    <w:p>
      <w:pPr>
        <w:spacing w:line="440" w:lineRule="exact" w:before="0" w:after="0"/>
        <w:ind w:firstLine="480"/>
        <w:jc w:val="both"/>
      </w:pPr>
      <w:r>
        <w:rPr>
          <w:rFonts w:ascii="Times New Roman" w:hAnsi="Times New Roman" w:eastAsia="SimSun"/>
          <w:b w:val="0"/>
          <w:i w:val="0"/>
          <w:sz w:val="24"/>
        </w:rPr>
        <w:t>在获得通道加权的特征图后，将其输入至空间注意力模块（Spatial Attention Module, SAM）。SAM旨在解决“哪里”是重要区域的问题。与CAM不同，SAM沿通道轴应用平均池化和最大池化操作，生成两个二维地图 $F_{avg}^s$ 和 $F_{max}^s \in R^{1 \times H \times W}$。这两个地图在通道维度上拼接，并通过一个标准卷积层（通常使用7×7卷积核）进行融合，最后经过Sigmoid激活函数生成空间注意力图 $M_s \in R^{1 \times H \times W}$[57]。空间注意力图能够突出显示病灶所在的像素位置，即使病灶非常微小或与周围组织对比度较低，SAM也能通过聚合通道信息来强化其空间定位能力。</w:t>
      </w:r>
    </w:p>
    <w:p>
      <w:pPr>
        <w:spacing w:line="440" w:lineRule="exact" w:before="0" w:after="0"/>
        <w:ind w:firstLine="480"/>
        <w:jc w:val="both"/>
      </w:pPr>
      <w:r>
        <w:rPr>
          <w:rFonts w:ascii="Times New Roman" w:hAnsi="Times New Roman" w:eastAsia="SimSun"/>
          <w:b w:val="0"/>
          <w:i w:val="0"/>
          <w:sz w:val="24"/>
        </w:rPr>
        <w:t>将CBAM嵌入ResNet50的具体策略如下：在每个残差块组（Residual Block Group）的输出特征图上应用CBAM，而不是在每个单独的残差块内部应用。这种设计权衡了计算成本与性能增益。若在每一个残差块后都添加注意力模块，将显著增加模型的参数量和推理延迟，不利于临床实时部署；而在每个Stage末端添加，既能保证深层语义特征得到充分的注意力校准，又能保持模型的高效性[58]。实验表明，这种嵌入方式使得模型在保留ResNet原有层级特征提取能力的同时，显著提升了对细微病变特征的敏感度，有效降低了假阴性率。</w:t>
      </w:r>
    </w:p>
    <w:p>
      <w:pPr>
        <w:spacing w:line="440" w:lineRule="exact" w:before="240" w:after="120"/>
        <w:jc w:val="center"/>
      </w:pPr>
      <w:r>
        <w:rPr>
          <w:rFonts w:ascii="Times New Roman" w:hAnsi="Times New Roman" w:eastAsia="SimSun"/>
          <w:b w:val="0"/>
          <w:i w:val="0"/>
          <w:sz w:val="24"/>
        </w:rPr>
        <w:t>表3.1 CBAM模块在ResNet50各阶段的嵌入配置参数</w:t>
      </w:r>
    </w:p>
    <w:tbl>
      <w:tblPr>
        <w:tblW w:type="auto" w:w="0"/>
        <w:tblLook w:firstColumn="1" w:firstRow="1" w:lastColumn="0" w:lastRow="0" w:noHBand="0" w:noVBand="1" w:val="04A0"/>
        <w:tblBorders>
          <w:top w:val="single" w:sz="12" w:color="auto" w:space="0"/>
          <w:bottom w:val="single" w:sz="12" w:color="auto" w:space="0"/>
          <w:left w:val="none" w:sz="0" w:color="auto" w:space="0"/>
          <w:right w:val="none" w:sz="0" w:color="auto" w:space="0"/>
          <w:insideH w:val="none" w:sz="0" w:color="auto" w:space="0"/>
          <w:insideV w:val="none" w:sz="0" w:color="auto" w:space="0"/>
        </w:tblBorders>
      </w:tblPr>
      <w:tblGrid>
        <w:gridCol w:w="1758"/>
        <w:gridCol w:w="1758"/>
        <w:gridCol w:w="1758"/>
        <w:gridCol w:w="1758"/>
        <w:gridCol w:w="1758"/>
      </w:tblGrid>
      <w:tr>
        <w:tc>
          <w:tcPr>
            <w:tcW w:type="dxa" w:w="1758"/>
            <w:tcBorders>
              <w:bottom w:val="single" w:sz="6" w:color="auto" w:space="0"/>
            </w:tcBorders>
          </w:tcPr>
          <w:p>
            <w:pPr>
              <w:jc w:val="center"/>
            </w:pPr>
            <w:r/>
            <w:r>
              <w:rPr>
                <w:rFonts w:ascii="Times New Roman" w:hAnsi="Times New Roman" w:eastAsia="SimSun"/>
                <w:b/>
                <w:i w:val="0"/>
                <w:sz w:val="21"/>
              </w:rPr>
              <w:t>网络阶段 (Stage)</w:t>
            </w:r>
          </w:p>
        </w:tc>
        <w:tc>
          <w:tcPr>
            <w:tcW w:type="dxa" w:w="1758"/>
            <w:tcBorders>
              <w:bottom w:val="single" w:sz="6" w:color="auto" w:space="0"/>
            </w:tcBorders>
          </w:tcPr>
          <w:p>
            <w:pPr>
              <w:jc w:val="center"/>
            </w:pPr>
            <w:r/>
            <w:r>
              <w:rPr>
                <w:rFonts w:ascii="Times New Roman" w:hAnsi="Times New Roman" w:eastAsia="SimSun"/>
                <w:b/>
                <w:i w:val="0"/>
                <w:sz w:val="21"/>
              </w:rPr>
              <w:t>输出特征图尺寸</w:t>
            </w:r>
          </w:p>
        </w:tc>
        <w:tc>
          <w:tcPr>
            <w:tcW w:type="dxa" w:w="1758"/>
            <w:tcBorders>
              <w:bottom w:val="single" w:sz="6" w:color="auto" w:space="0"/>
            </w:tcBorders>
          </w:tcPr>
          <w:p>
            <w:pPr>
              <w:jc w:val="center"/>
            </w:pPr>
            <w:r/>
            <w:r>
              <w:rPr>
                <w:rFonts w:ascii="Times New Roman" w:hAnsi="Times New Roman" w:eastAsia="SimSun"/>
                <w:b/>
                <w:i w:val="0"/>
                <w:sz w:val="21"/>
              </w:rPr>
              <w:t>CBAM通道缩减率 (r)</w:t>
            </w:r>
          </w:p>
        </w:tc>
        <w:tc>
          <w:tcPr>
            <w:tcW w:type="dxa" w:w="1758"/>
            <w:tcBorders>
              <w:bottom w:val="single" w:sz="6" w:color="auto" w:space="0"/>
            </w:tcBorders>
          </w:tcPr>
          <w:p>
            <w:pPr>
              <w:jc w:val="center"/>
            </w:pPr>
            <w:r/>
            <w:r>
              <w:rPr>
                <w:rFonts w:ascii="Times New Roman" w:hAnsi="Times New Roman" w:eastAsia="SimSun"/>
                <w:b/>
                <w:i w:val="0"/>
                <w:sz w:val="21"/>
              </w:rPr>
              <w:t>空间卷积核大小</w:t>
            </w:r>
          </w:p>
        </w:tc>
        <w:tc>
          <w:tcPr>
            <w:tcW w:type="dxa" w:w="1758"/>
            <w:tcBorders>
              <w:bottom w:val="single" w:sz="6" w:color="auto" w:space="0"/>
            </w:tcBorders>
          </w:tcPr>
          <w:p>
            <w:pPr>
              <w:jc w:val="center"/>
            </w:pPr>
            <w:r/>
            <w:r>
              <w:rPr>
                <w:rFonts w:ascii="Times New Roman" w:hAnsi="Times New Roman" w:eastAsia="SimSun"/>
                <w:b/>
                <w:i w:val="0"/>
                <w:sz w:val="21"/>
              </w:rPr>
              <w:t>参数量增量</w:t>
            </w:r>
          </w:p>
        </w:tc>
      </w:tr>
      <w:tr>
        <w:tc>
          <w:tcPr>
            <w:tcW w:type="dxa" w:w="1758"/>
          </w:tcPr>
          <w:p>
            <w:pPr>
              <w:jc w:val="center"/>
            </w:pPr>
            <w:r/>
            <w:r>
              <w:rPr>
                <w:rFonts w:ascii="Times New Roman" w:hAnsi="Times New Roman" w:eastAsia="SimSun"/>
                <w:b w:val="0"/>
                <w:i w:val="0"/>
                <w:sz w:val="21"/>
              </w:rPr>
              <w:t>Stage 1</w:t>
            </w:r>
          </w:p>
        </w:tc>
        <w:tc>
          <w:tcPr>
            <w:tcW w:type="dxa" w:w="1758"/>
          </w:tcPr>
          <w:p>
            <w:pPr>
              <w:jc w:val="center"/>
            </w:pPr>
            <w:r/>
            <w:r>
              <w:rPr>
                <w:rFonts w:ascii="Times New Roman" w:hAnsi="Times New Roman" w:eastAsia="SimSun"/>
                <w:b w:val="0"/>
                <w:i w:val="0"/>
                <w:sz w:val="21"/>
              </w:rPr>
              <w:t>56 × 56 × 256</w:t>
            </w:r>
          </w:p>
        </w:tc>
        <w:tc>
          <w:tcPr>
            <w:tcW w:type="dxa" w:w="1758"/>
          </w:tcPr>
          <w:p>
            <w:pPr>
              <w:jc w:val="center"/>
            </w:pPr>
            <w:r/>
            <w:r>
              <w:rPr>
                <w:rFonts w:ascii="Times New Roman" w:hAnsi="Times New Roman" w:eastAsia="SimSun"/>
                <w:b w:val="0"/>
                <w:i w:val="0"/>
                <w:sz w:val="21"/>
              </w:rPr>
              <w:t>16</w:t>
            </w:r>
          </w:p>
        </w:tc>
        <w:tc>
          <w:tcPr>
            <w:tcW w:type="dxa" w:w="1758"/>
          </w:tcPr>
          <w:p>
            <w:pPr>
              <w:jc w:val="center"/>
            </w:pPr>
            <w:r/>
            <w:r>
              <w:rPr>
                <w:rFonts w:ascii="Times New Roman" w:hAnsi="Times New Roman" w:eastAsia="SimSun"/>
                <w:b w:val="0"/>
                <w:i w:val="0"/>
                <w:sz w:val="21"/>
              </w:rPr>
              <w:t>7 × 7</w:t>
            </w:r>
          </w:p>
        </w:tc>
        <w:tc>
          <w:tcPr>
            <w:tcW w:type="dxa" w:w="1758"/>
          </w:tcPr>
          <w:p>
            <w:pPr>
              <w:jc w:val="center"/>
            </w:pPr>
            <w:r/>
            <w:r>
              <w:rPr>
                <w:rFonts w:ascii="Times New Roman" w:hAnsi="Times New Roman" w:eastAsia="SimSun"/>
                <w:b w:val="0"/>
                <w:i w:val="0"/>
                <w:sz w:val="21"/>
              </w:rPr>
              <w:t>0.02%</w:t>
            </w:r>
          </w:p>
        </w:tc>
      </w:tr>
      <w:tr>
        <w:tc>
          <w:tcPr>
            <w:tcW w:type="dxa" w:w="1758"/>
          </w:tcPr>
          <w:p>
            <w:pPr>
              <w:jc w:val="center"/>
            </w:pPr>
            <w:r/>
            <w:r>
              <w:rPr>
                <w:rFonts w:ascii="Times New Roman" w:hAnsi="Times New Roman" w:eastAsia="SimSun"/>
                <w:b w:val="0"/>
                <w:i w:val="0"/>
                <w:sz w:val="21"/>
              </w:rPr>
              <w:t>Stage 2</w:t>
            </w:r>
          </w:p>
        </w:tc>
        <w:tc>
          <w:tcPr>
            <w:tcW w:type="dxa" w:w="1758"/>
          </w:tcPr>
          <w:p>
            <w:pPr>
              <w:jc w:val="center"/>
            </w:pPr>
            <w:r/>
            <w:r>
              <w:rPr>
                <w:rFonts w:ascii="Times New Roman" w:hAnsi="Times New Roman" w:eastAsia="SimSun"/>
                <w:b w:val="0"/>
                <w:i w:val="0"/>
                <w:sz w:val="21"/>
              </w:rPr>
              <w:t>28 × 28 × 512</w:t>
            </w:r>
          </w:p>
        </w:tc>
        <w:tc>
          <w:tcPr>
            <w:tcW w:type="dxa" w:w="1758"/>
          </w:tcPr>
          <w:p>
            <w:pPr>
              <w:jc w:val="center"/>
            </w:pPr>
            <w:r/>
            <w:r>
              <w:rPr>
                <w:rFonts w:ascii="Times New Roman" w:hAnsi="Times New Roman" w:eastAsia="SimSun"/>
                <w:b w:val="0"/>
                <w:i w:val="0"/>
                <w:sz w:val="21"/>
              </w:rPr>
              <w:t>16</w:t>
            </w:r>
          </w:p>
        </w:tc>
        <w:tc>
          <w:tcPr>
            <w:tcW w:type="dxa" w:w="1758"/>
          </w:tcPr>
          <w:p>
            <w:pPr>
              <w:jc w:val="center"/>
            </w:pPr>
            <w:r/>
            <w:r>
              <w:rPr>
                <w:rFonts w:ascii="Times New Roman" w:hAnsi="Times New Roman" w:eastAsia="SimSun"/>
                <w:b w:val="0"/>
                <w:i w:val="0"/>
                <w:sz w:val="21"/>
              </w:rPr>
              <w:t>7 × 7</w:t>
            </w:r>
          </w:p>
        </w:tc>
        <w:tc>
          <w:tcPr>
            <w:tcW w:type="dxa" w:w="1758"/>
          </w:tcPr>
          <w:p>
            <w:pPr>
              <w:jc w:val="center"/>
            </w:pPr>
            <w:r/>
            <w:r>
              <w:rPr>
                <w:rFonts w:ascii="Times New Roman" w:hAnsi="Times New Roman" w:eastAsia="SimSun"/>
                <w:b w:val="0"/>
                <w:i w:val="0"/>
                <w:sz w:val="21"/>
              </w:rPr>
              <w:t>0.04%</w:t>
            </w:r>
          </w:p>
        </w:tc>
      </w:tr>
      <w:tr>
        <w:tc>
          <w:tcPr>
            <w:tcW w:type="dxa" w:w="1758"/>
          </w:tcPr>
          <w:p>
            <w:pPr>
              <w:jc w:val="center"/>
            </w:pPr>
            <w:r/>
            <w:r>
              <w:rPr>
                <w:rFonts w:ascii="Times New Roman" w:hAnsi="Times New Roman" w:eastAsia="SimSun"/>
                <w:b w:val="0"/>
                <w:i w:val="0"/>
                <w:sz w:val="21"/>
              </w:rPr>
              <w:t>Stage 3</w:t>
            </w:r>
          </w:p>
        </w:tc>
        <w:tc>
          <w:tcPr>
            <w:tcW w:type="dxa" w:w="1758"/>
          </w:tcPr>
          <w:p>
            <w:pPr>
              <w:jc w:val="center"/>
            </w:pPr>
            <w:r/>
            <w:r>
              <w:rPr>
                <w:rFonts w:ascii="Times New Roman" w:hAnsi="Times New Roman" w:eastAsia="SimSun"/>
                <w:b w:val="0"/>
                <w:i w:val="0"/>
                <w:sz w:val="21"/>
              </w:rPr>
              <w:t>14 × 14 × 1024</w:t>
            </w:r>
          </w:p>
        </w:tc>
        <w:tc>
          <w:tcPr>
            <w:tcW w:type="dxa" w:w="1758"/>
          </w:tcPr>
          <w:p>
            <w:pPr>
              <w:jc w:val="center"/>
            </w:pPr>
            <w:r/>
            <w:r>
              <w:rPr>
                <w:rFonts w:ascii="Times New Roman" w:hAnsi="Times New Roman" w:eastAsia="SimSun"/>
                <w:b w:val="0"/>
                <w:i w:val="0"/>
                <w:sz w:val="21"/>
              </w:rPr>
              <w:t>16</w:t>
            </w:r>
          </w:p>
        </w:tc>
        <w:tc>
          <w:tcPr>
            <w:tcW w:type="dxa" w:w="1758"/>
          </w:tcPr>
          <w:p>
            <w:pPr>
              <w:jc w:val="center"/>
            </w:pPr>
            <w:r/>
            <w:r>
              <w:rPr>
                <w:rFonts w:ascii="Times New Roman" w:hAnsi="Times New Roman" w:eastAsia="SimSun"/>
                <w:b w:val="0"/>
                <w:i w:val="0"/>
                <w:sz w:val="21"/>
              </w:rPr>
              <w:t>7 × 7</w:t>
            </w:r>
          </w:p>
        </w:tc>
        <w:tc>
          <w:tcPr>
            <w:tcW w:type="dxa" w:w="1758"/>
          </w:tcPr>
          <w:p>
            <w:pPr>
              <w:jc w:val="center"/>
            </w:pPr>
            <w:r/>
            <w:r>
              <w:rPr>
                <w:rFonts w:ascii="Times New Roman" w:hAnsi="Times New Roman" w:eastAsia="SimSun"/>
                <w:b w:val="0"/>
                <w:i w:val="0"/>
                <w:sz w:val="21"/>
              </w:rPr>
              <w:t>0.08%</w:t>
            </w:r>
          </w:p>
        </w:tc>
      </w:tr>
      <w:tr>
        <w:tc>
          <w:tcPr>
            <w:tcW w:type="dxa" w:w="1758"/>
          </w:tcPr>
          <w:p>
            <w:pPr>
              <w:jc w:val="center"/>
            </w:pPr>
            <w:r/>
            <w:r>
              <w:rPr>
                <w:rFonts w:ascii="Times New Roman" w:hAnsi="Times New Roman" w:eastAsia="SimSun"/>
                <w:b w:val="0"/>
                <w:i w:val="0"/>
                <w:sz w:val="21"/>
              </w:rPr>
              <w:t>Stage 4</w:t>
            </w:r>
          </w:p>
        </w:tc>
        <w:tc>
          <w:tcPr>
            <w:tcW w:type="dxa" w:w="1758"/>
          </w:tcPr>
          <w:p>
            <w:pPr>
              <w:jc w:val="center"/>
            </w:pPr>
            <w:r/>
            <w:r>
              <w:rPr>
                <w:rFonts w:ascii="Times New Roman" w:hAnsi="Times New Roman" w:eastAsia="SimSun"/>
                <w:b w:val="0"/>
                <w:i w:val="0"/>
                <w:sz w:val="21"/>
              </w:rPr>
              <w:t>7 × 7 × 2048</w:t>
            </w:r>
          </w:p>
        </w:tc>
        <w:tc>
          <w:tcPr>
            <w:tcW w:type="dxa" w:w="1758"/>
          </w:tcPr>
          <w:p>
            <w:pPr>
              <w:jc w:val="center"/>
            </w:pPr>
            <w:r/>
            <w:r>
              <w:rPr>
                <w:rFonts w:ascii="Times New Roman" w:hAnsi="Times New Roman" w:eastAsia="SimSun"/>
                <w:b w:val="0"/>
                <w:i w:val="0"/>
                <w:sz w:val="21"/>
              </w:rPr>
              <w:t>16</w:t>
            </w:r>
          </w:p>
        </w:tc>
        <w:tc>
          <w:tcPr>
            <w:tcW w:type="dxa" w:w="1758"/>
          </w:tcPr>
          <w:p>
            <w:pPr>
              <w:jc w:val="center"/>
            </w:pPr>
            <w:r/>
            <w:r>
              <w:rPr>
                <w:rFonts w:ascii="Times New Roman" w:hAnsi="Times New Roman" w:eastAsia="SimSun"/>
                <w:b w:val="0"/>
                <w:i w:val="0"/>
                <w:sz w:val="21"/>
              </w:rPr>
              <w:t>7 × 7</w:t>
            </w:r>
          </w:p>
        </w:tc>
        <w:tc>
          <w:tcPr>
            <w:tcW w:type="dxa" w:w="1758"/>
          </w:tcPr>
          <w:p>
            <w:pPr>
              <w:jc w:val="center"/>
            </w:pPr>
            <w:r/>
            <w:r>
              <w:rPr>
                <w:rFonts w:ascii="Times New Roman" w:hAnsi="Times New Roman" w:eastAsia="SimSun"/>
                <w:b w:val="0"/>
                <w:i w:val="0"/>
                <w:sz w:val="21"/>
              </w:rPr>
              <w:t>0.15%</w:t>
            </w:r>
          </w:p>
        </w:tc>
      </w:tr>
    </w:tbl>
    <w:p>
      <w:pPr>
        <w:pStyle w:val="Heading2"/>
        <w:spacing w:line="440" w:lineRule="exact"/>
      </w:pPr>
      <w:r>
        <w:rPr>
          <w:rFonts w:ascii="Times New Roman" w:hAnsi="Times New Roman" w:eastAsia="SimHei"/>
          <w:b/>
          <w:i w:val="0"/>
          <w:color w:val="000000"/>
          <w:sz w:val="28"/>
        </w:rPr>
        <w:t>3.3 基于Focal Loss的损失函数优化</w:t>
      </w:r>
    </w:p>
    <w:p>
      <w:pPr>
        <w:spacing w:line="440" w:lineRule="exact" w:before="0" w:after="0"/>
        <w:ind w:firstLine="480"/>
        <w:jc w:val="both"/>
      </w:pPr>
      <w:r>
        <w:rPr>
          <w:rFonts w:ascii="Times New Roman" w:hAnsi="Times New Roman" w:eastAsia="SimSun"/>
          <w:b w:val="0"/>
          <w:i w:val="0"/>
          <w:sz w:val="24"/>
        </w:rPr>
        <w:t>在医疗影像分类任务中，数据分布的不平衡是一个普遍且严峻的挑战。例如，在肺炎检测或肿瘤筛查数据集中，正常样本的数量往往远多于患病样本。传统的交叉熵损失函数（Cross-Entropy Loss, CE Loss）在处理此类不平衡数据时，容易受到大量易分类负样本（即背景清晰的健康样本）的主导，导致模型倾向于预测多数类，从而忽略少数类（患病样本）的特征学习[59]。为了解决这一问题，本研究引入Focal Loss作为优化目标函数。</w:t>
      </w:r>
    </w:p>
    <w:p>
      <w:pPr>
        <w:spacing w:line="440" w:lineRule="exact" w:before="0" w:after="0"/>
        <w:ind w:firstLine="480"/>
        <w:jc w:val="both"/>
      </w:pPr>
      <w:r>
        <w:rPr>
          <w:rFonts w:ascii="Times New Roman" w:hAnsi="Times New Roman" w:eastAsia="SimSun"/>
          <w:b w:val="0"/>
          <w:i w:val="0"/>
          <w:sz w:val="24"/>
        </w:rPr>
        <w:t>Focal Loss是由Lin等人提出的一种动态缩放交叉熵损失函数，其核心思想是通过添加调制因子（Modulating Factor）来重新平衡训练过程中的样本权重。标准交叉熵损失定义为 $CE(p_t) = -\log(p_t)$，其中 $p_t$ 是模型对真实类别的预测概率。Focal Loss在此基础上引入了两个参数：聚焦参数 $\gamma$ 和平衡参数 $\alpha$。其数学表达式为：$FL(p_t) = -\alpha_t (1 - p_t)^\gamma \log(p_t)$[60]。</w:t>
      </w:r>
    </w:p>
    <w:p>
      <w:pPr>
        <w:spacing w:line="440" w:lineRule="exact" w:before="0" w:after="0"/>
        <w:ind w:firstLine="480"/>
        <w:jc w:val="both"/>
      </w:pPr>
      <w:r>
        <w:rPr>
          <w:rFonts w:ascii="Times New Roman" w:hAnsi="Times New Roman" w:eastAsia="SimSun"/>
          <w:b w:val="0"/>
          <w:i w:val="0"/>
          <w:sz w:val="24"/>
        </w:rPr>
        <w:t>聚焦参数 $\gamma$ ($\gamma \ge 0$) 控制着难易样本权重的调整程度。当 $\gamma &gt; 0$ 时，随着预测概率 $p_t$ 趋近于1（即样本被正确且自信地分类），调制因子 $(1 - p_t)^\gamma$ 趋近于0，从而大幅降低该样本对总损失的贡献。这意味着模型在训练后期将不再受大量简单背景样本的干扰，而是将梯度更新的重点集中在那些预测概率较低、难以分类的样本上，这些样本通常包含复杂的病灶特征或处于类别边界[61]。在本研究中，经过初步实验验证，将 $\gamma$ 设置为2时效果最佳，既保证了难分样本的学习力度，又避免了梯度波动过大。</w:t>
      </w:r>
    </w:p>
    <w:p>
      <w:pPr>
        <w:spacing w:line="440" w:lineRule="exact" w:before="0" w:after="0"/>
        <w:ind w:firstLine="480"/>
        <w:jc w:val="both"/>
      </w:pPr>
      <w:r>
        <w:rPr>
          <w:rFonts w:ascii="Times New Roman" w:hAnsi="Times New Roman" w:eastAsia="SimSun"/>
          <w:b w:val="0"/>
          <w:i w:val="0"/>
          <w:sz w:val="24"/>
        </w:rPr>
        <w:t>平衡参数 $\alpha$ ($\alpha \in [0, 1]$) 用于调节正负样本之间的基础权重比例，直接应对类别数量不平衡问题。通过设置 $\alpha &lt; 0.5$，可以增加少数类（正样本）在损失函数中的权重，补偿其在数据集中的数量劣势。在本研究的医疗影像数据集上，根据正负样本的比例，将 $\alpha$ 设定为0.25。这种组合策略使得Focal Loss能够同时解决难易样本不平衡和类别数量不平衡两个维度的问题，显著提升了模型对罕见病灶的识别召回率，增强了算法在临床辅助诊断中的实用价值。</w:t>
      </w:r>
    </w:p>
    <w:p>
      <w:pPr>
        <w:pStyle w:val="Heading2"/>
        <w:spacing w:line="440" w:lineRule="exact"/>
      </w:pPr>
      <w:r>
        <w:rPr>
          <w:rFonts w:ascii="Times New Roman" w:hAnsi="Times New Roman" w:eastAsia="SimHei"/>
          <w:b/>
          <w:i w:val="0"/>
          <w:color w:val="000000"/>
          <w:sz w:val="28"/>
        </w:rPr>
        <w:t>3.4 本章小结</w:t>
      </w:r>
    </w:p>
    <w:p>
      <w:pPr>
        <w:spacing w:line="440" w:lineRule="exact" w:before="0" w:after="0"/>
        <w:ind w:firstLine="480"/>
        <w:jc w:val="both"/>
      </w:pPr>
      <w:r>
        <w:rPr>
          <w:rFonts w:ascii="Times New Roman" w:hAnsi="Times New Roman" w:eastAsia="SimSun"/>
          <w:b w:val="0"/>
          <w:i w:val="0"/>
          <w:sz w:val="24"/>
        </w:rPr>
        <w:t>本章详细阐述了基于改进ResNet的医疗影像分类算法的设计思路与具体实现方案。首先，构建了以ResNet50为骨干的总体算法架构，确立了“特征提取—注意力增强—损失优化”的技术路线。其次，深入分析了CBAM注意力机制的原理，并制定了将其嵌入ResNet各阶段末端的策略，通过通道和空间双重注意力加权，有效增强了模型对微小病灶特征的提取能力，抑制了背景噪声干扰。最后，针对医疗数据类别不平衡问题，引入Focal Loss损失函数，通过动态调整难易样本权重和正负样本比例，优化了模型的训练过程。本章提出的改进算法从网络结构和优化目标两个层面进行了创新，为后续章节的实验验证奠定了坚实的理论与模型基础。</w:t>
      </w:r>
    </w:p>
    <w:p>
      <w:pPr>
        <w:pStyle w:val="Heading1"/>
        <w:spacing w:line="480" w:lineRule="exact"/>
      </w:pPr>
      <w:r>
        <w:rPr>
          <w:rFonts w:ascii="Times New Roman" w:hAnsi="Times New Roman" w:eastAsia="SimHei"/>
          <w:b/>
          <w:i w:val="0"/>
          <w:color w:val="000000"/>
          <w:sz w:val="32"/>
        </w:rPr>
        <w:t>第4章 实验结果与分析</w:t>
      </w:r>
    </w:p>
    <w:p>
      <w:pPr>
        <w:pStyle w:val="Heading2"/>
        <w:spacing w:line="440" w:lineRule="exact"/>
      </w:pPr>
      <w:r>
        <w:rPr>
          <w:rFonts w:ascii="Times New Roman" w:hAnsi="Times New Roman" w:eastAsia="SimHei"/>
          <w:b/>
          <w:i w:val="0"/>
          <w:color w:val="000000"/>
          <w:sz w:val="28"/>
        </w:rPr>
        <w:t>4.1 实验环境与数据集准备</w:t>
      </w:r>
    </w:p>
    <w:p>
      <w:pPr>
        <w:spacing w:line="440" w:lineRule="exact" w:before="0" w:after="0"/>
        <w:ind w:firstLine="480"/>
        <w:jc w:val="both"/>
      </w:pPr>
      <w:r>
        <w:rPr>
          <w:rFonts w:ascii="Times New Roman" w:hAnsi="Times New Roman" w:eastAsia="SimSun"/>
          <w:b w:val="0"/>
          <w:i w:val="0"/>
          <w:sz w:val="24"/>
        </w:rPr>
        <w:t>本章旨在通过系统的对比实验与消融实验，验证第3章提出的基于改进ResNet的医疗影像分类算法的有效性。为了全面评估模型在真实医疗场景下的性能表现，本节首先详细介绍实验所需的软硬件环境配置、数据集来源及预处理流程。严谨的实验设置是确保研究结果可复现性与科学性的基础。</w:t>
      </w:r>
    </w:p>
    <w:p>
      <w:pPr>
        <w:spacing w:line="440" w:lineRule="exact" w:before="0" w:after="0"/>
        <w:ind w:firstLine="480"/>
        <w:jc w:val="both"/>
      </w:pPr>
      <w:r>
        <w:rPr>
          <w:rFonts w:ascii="Times New Roman" w:hAnsi="Times New Roman" w:eastAsia="SimSun"/>
          <w:b w:val="0"/>
          <w:i w:val="0"/>
          <w:sz w:val="24"/>
        </w:rPr>
        <w:t>本研究的所有实验均在高性能计算服务器上完成。硬件方面，采用Intel Xeon Gold 6248R处理器（主频3.0GHz，24核心），配备NVIDIA Tesla A100 80GB GPU加速卡以支持大规模矩阵运算，系统内存为256GB DDR4 ECC。软件环境基于Ubuntu 20.04 LTS操作系统，深度学习框架选用PyTorch 1.12.0，配合CUDA 11.3和cuDNN 8.2进行底层加速。此外，使用OpenCV 4.5.5进行图像预处理，利用Scikit-learn 1.0.2库进行评价指标计算[62]。该配置能够充分满足深层卷积神经网络训练过程中的显存需求与算力要求，确保实验效率。</w:t>
      </w:r>
    </w:p>
    <w:p>
      <w:pPr>
        <w:spacing w:line="440" w:lineRule="exact" w:before="0" w:after="0"/>
        <w:ind w:firstLine="480"/>
        <w:jc w:val="both"/>
      </w:pPr>
      <w:r>
        <w:rPr>
          <w:rFonts w:ascii="Times New Roman" w:hAnsi="Times New Roman" w:eastAsia="SimSun"/>
          <w:b w:val="0"/>
          <w:i w:val="0"/>
          <w:sz w:val="24"/>
        </w:rPr>
        <w:t>实验数据集选取公开且权威的CheXpert胸部X光影像数据集。该数据集包含来自斯坦福大学医院的224,316张胸部X光片，涵盖14种常见胸部病理征象[63]。考虑到临床诊断的高频需求与本研究的聚焦方向，选取其中“肺炎（Pneumonia）”、“气胸（Pneumothorax）”、“肺不张（Atelectasis）”及“正常（No Finding）”四类具有代表性的类别构建子集。原始数据存在显著的长尾分布特征，正常样本占比过高，而病理样本相对稀缺。为解决这一类别不平衡问题，本研究采用分层抽样策略，从各类别中分别抽取均衡数量的样本，最终构建包含12,000张图像的平衡测试子集，并按照7:2:1的比例划分为训练集、验证集和测试集[64]。</w:t>
      </w:r>
    </w:p>
    <w:p>
      <w:pPr>
        <w:spacing w:line="440" w:lineRule="exact" w:before="0" w:after="0"/>
        <w:ind w:firstLine="480"/>
        <w:jc w:val="both"/>
      </w:pPr>
      <w:r>
        <w:rPr>
          <w:rFonts w:ascii="Times New Roman" w:hAnsi="Times New Roman" w:eastAsia="SimSun"/>
          <w:b w:val="0"/>
          <w:i w:val="0"/>
          <w:sz w:val="24"/>
        </w:rPr>
        <w:t>在数据预处理阶段，所有输入图像首先统一调整为224×224像素分辨率，以适配ResNet网络的输入维度要求。随后执行标准化操作，依据ImageNet数据集的均值（[0.485, 0.456, 0.406]）和标准差（[0.229, 0.224, 0.225]）对RGB通道进行归一化处理，以加速模型收敛[44]。为增强模型的泛化能力并防止过拟合，训练集中引入了在线数据增强策略，包括随机水平翻转（概率0.5）、随机旋转（角度范围±15度）以及亮度与对比度的微小扰动。验证集与测试集仅执行中心裁剪与标准化操作，以确保评估结果的客观性。</w:t>
      </w:r>
    </w:p>
    <w:p>
      <w:pPr>
        <w:spacing w:line="440" w:lineRule="exact" w:before="240" w:after="120"/>
        <w:jc w:val="center"/>
      </w:pPr>
      <w:r>
        <w:rPr>
          <w:rFonts w:ascii="Times New Roman" w:hAnsi="Times New Roman" w:eastAsia="SimSun"/>
          <w:b w:val="0"/>
          <w:i w:val="0"/>
          <w:sz w:val="24"/>
        </w:rPr>
        <w:t>表4.1 实验硬件与软件环境配置详情</w:t>
      </w:r>
    </w:p>
    <w:tbl>
      <w:tblPr>
        <w:tblW w:type="auto" w:w="0"/>
        <w:tblLook w:firstColumn="1" w:firstRow="1" w:lastColumn="0" w:lastRow="0" w:noHBand="0" w:noVBand="1" w:val="04A0"/>
        <w:tblBorders>
          <w:top w:val="single" w:sz="12" w:color="auto" w:space="0"/>
          <w:bottom w:val="single" w:sz="12" w:color="auto" w:space="0"/>
          <w:left w:val="none" w:sz="0" w:color="auto" w:space="0"/>
          <w:right w:val="none" w:sz="0" w:color="auto" w:space="0"/>
          <w:insideH w:val="none" w:sz="0" w:color="auto" w:space="0"/>
          <w:insideV w:val="none" w:sz="0" w:color="auto" w:space="0"/>
        </w:tblBorders>
      </w:tblPr>
      <w:tblGrid>
        <w:gridCol w:w="4394"/>
        <w:gridCol w:w="4394"/>
      </w:tblGrid>
      <w:tr>
        <w:tc>
          <w:tcPr>
            <w:tcW w:type="dxa" w:w="4394"/>
            <w:tcBorders>
              <w:bottom w:val="single" w:sz="6" w:color="auto" w:space="0"/>
            </w:tcBorders>
          </w:tcPr>
          <w:p>
            <w:pPr>
              <w:jc w:val="center"/>
            </w:pPr>
            <w:r/>
            <w:r>
              <w:rPr>
                <w:rFonts w:ascii="Times New Roman" w:hAnsi="Times New Roman" w:eastAsia="SimSun"/>
                <w:b/>
                <w:i w:val="0"/>
                <w:sz w:val="21"/>
              </w:rPr>
              <w:t>配置项</w:t>
            </w:r>
          </w:p>
        </w:tc>
        <w:tc>
          <w:tcPr>
            <w:tcW w:type="dxa" w:w="4394"/>
            <w:tcBorders>
              <w:bottom w:val="single" w:sz="6" w:color="auto" w:space="0"/>
            </w:tcBorders>
          </w:tcPr>
          <w:p>
            <w:pPr>
              <w:jc w:val="center"/>
            </w:pPr>
            <w:r/>
            <w:r>
              <w:rPr>
                <w:rFonts w:ascii="Times New Roman" w:hAnsi="Times New Roman" w:eastAsia="SimSun"/>
                <w:b/>
                <w:i w:val="0"/>
                <w:sz w:val="21"/>
              </w:rPr>
              <w:t>具体规格/版本</w:t>
            </w:r>
          </w:p>
        </w:tc>
      </w:tr>
      <w:tr>
        <w:tc>
          <w:tcPr>
            <w:tcW w:type="dxa" w:w="4394"/>
          </w:tcPr>
          <w:p>
            <w:pPr>
              <w:jc w:val="center"/>
            </w:pPr>
            <w:r/>
            <w:r>
              <w:rPr>
                <w:rFonts w:ascii="Times New Roman" w:hAnsi="Times New Roman" w:eastAsia="SimSun"/>
                <w:b w:val="0"/>
                <w:i w:val="0"/>
                <w:sz w:val="21"/>
              </w:rPr>
              <w:t>CPU</w:t>
            </w:r>
          </w:p>
        </w:tc>
        <w:tc>
          <w:tcPr>
            <w:tcW w:type="dxa" w:w="4394"/>
          </w:tcPr>
          <w:p>
            <w:pPr>
              <w:jc w:val="center"/>
            </w:pPr>
            <w:r/>
            <w:r>
              <w:rPr>
                <w:rFonts w:ascii="Times New Roman" w:hAnsi="Times New Roman" w:eastAsia="SimSun"/>
                <w:b w:val="0"/>
                <w:i w:val="0"/>
                <w:sz w:val="21"/>
              </w:rPr>
              <w:t>Intel Xeon Gold 6248R (3.0GHz, 24 Cores)</w:t>
            </w:r>
          </w:p>
        </w:tc>
      </w:tr>
      <w:tr>
        <w:tc>
          <w:tcPr>
            <w:tcW w:type="dxa" w:w="4394"/>
          </w:tcPr>
          <w:p>
            <w:pPr>
              <w:jc w:val="center"/>
            </w:pPr>
            <w:r/>
            <w:r>
              <w:rPr>
                <w:rFonts w:ascii="Times New Roman" w:hAnsi="Times New Roman" w:eastAsia="SimSun"/>
                <w:b w:val="0"/>
                <w:i w:val="0"/>
                <w:sz w:val="21"/>
              </w:rPr>
              <w:t>GPU</w:t>
            </w:r>
          </w:p>
        </w:tc>
        <w:tc>
          <w:tcPr>
            <w:tcW w:type="dxa" w:w="4394"/>
          </w:tcPr>
          <w:p>
            <w:pPr>
              <w:jc w:val="center"/>
            </w:pPr>
            <w:r/>
            <w:r>
              <w:rPr>
                <w:rFonts w:ascii="Times New Roman" w:hAnsi="Times New Roman" w:eastAsia="SimSun"/>
                <w:b w:val="0"/>
                <w:i w:val="0"/>
                <w:sz w:val="21"/>
              </w:rPr>
              <w:t>NVIDIA Tesla A100 (80GB VRAM)</w:t>
            </w:r>
          </w:p>
        </w:tc>
      </w:tr>
      <w:tr>
        <w:tc>
          <w:tcPr>
            <w:tcW w:type="dxa" w:w="4394"/>
          </w:tcPr>
          <w:p>
            <w:pPr>
              <w:jc w:val="center"/>
            </w:pPr>
            <w:r/>
            <w:r>
              <w:rPr>
                <w:rFonts w:ascii="Times New Roman" w:hAnsi="Times New Roman" w:eastAsia="SimSun"/>
                <w:b w:val="0"/>
                <w:i w:val="0"/>
                <w:sz w:val="21"/>
              </w:rPr>
              <w:t>Memory</w:t>
            </w:r>
          </w:p>
        </w:tc>
        <w:tc>
          <w:tcPr>
            <w:tcW w:type="dxa" w:w="4394"/>
          </w:tcPr>
          <w:p>
            <w:pPr>
              <w:jc w:val="center"/>
            </w:pPr>
            <w:r/>
            <w:r>
              <w:rPr>
                <w:rFonts w:ascii="Times New Roman" w:hAnsi="Times New Roman" w:eastAsia="SimSun"/>
                <w:b w:val="0"/>
                <w:i w:val="0"/>
                <w:sz w:val="21"/>
              </w:rPr>
              <w:t>256GB DDR4 ECC</w:t>
            </w:r>
          </w:p>
        </w:tc>
      </w:tr>
      <w:tr>
        <w:tc>
          <w:tcPr>
            <w:tcW w:type="dxa" w:w="4394"/>
          </w:tcPr>
          <w:p>
            <w:pPr>
              <w:jc w:val="center"/>
            </w:pPr>
            <w:r/>
            <w:r>
              <w:rPr>
                <w:rFonts w:ascii="Times New Roman" w:hAnsi="Times New Roman" w:eastAsia="SimSun"/>
                <w:b w:val="0"/>
                <w:i w:val="0"/>
                <w:sz w:val="21"/>
              </w:rPr>
              <w:t>OS</w:t>
            </w:r>
          </w:p>
        </w:tc>
        <w:tc>
          <w:tcPr>
            <w:tcW w:type="dxa" w:w="4394"/>
          </w:tcPr>
          <w:p>
            <w:pPr>
              <w:jc w:val="center"/>
            </w:pPr>
            <w:r/>
            <w:r>
              <w:rPr>
                <w:rFonts w:ascii="Times New Roman" w:hAnsi="Times New Roman" w:eastAsia="SimSun"/>
                <w:b w:val="0"/>
                <w:i w:val="0"/>
                <w:sz w:val="21"/>
              </w:rPr>
              <w:t>Ubuntu 20.04 LTS</w:t>
            </w:r>
          </w:p>
        </w:tc>
      </w:tr>
      <w:tr>
        <w:tc>
          <w:tcPr>
            <w:tcW w:type="dxa" w:w="4394"/>
          </w:tcPr>
          <w:p>
            <w:pPr>
              <w:jc w:val="center"/>
            </w:pPr>
            <w:r/>
            <w:r>
              <w:rPr>
                <w:rFonts w:ascii="Times New Roman" w:hAnsi="Times New Roman" w:eastAsia="SimSun"/>
                <w:b w:val="0"/>
                <w:i w:val="0"/>
                <w:sz w:val="21"/>
              </w:rPr>
              <w:t>Deep Learning Framework</w:t>
            </w:r>
          </w:p>
        </w:tc>
        <w:tc>
          <w:tcPr>
            <w:tcW w:type="dxa" w:w="4394"/>
          </w:tcPr>
          <w:p>
            <w:pPr>
              <w:jc w:val="center"/>
            </w:pPr>
            <w:r/>
            <w:r>
              <w:rPr>
                <w:rFonts w:ascii="Times New Roman" w:hAnsi="Times New Roman" w:eastAsia="SimSun"/>
                <w:b w:val="0"/>
                <w:i w:val="0"/>
                <w:sz w:val="21"/>
              </w:rPr>
              <w:t>PyTorch 1.12.0 + CUDA 11.3</w:t>
            </w:r>
          </w:p>
        </w:tc>
      </w:tr>
      <w:tr>
        <w:tc>
          <w:tcPr>
            <w:tcW w:type="dxa" w:w="4394"/>
          </w:tcPr>
          <w:p>
            <w:pPr>
              <w:jc w:val="center"/>
            </w:pPr>
            <w:r/>
            <w:r>
              <w:rPr>
                <w:rFonts w:ascii="Times New Roman" w:hAnsi="Times New Roman" w:eastAsia="SimSun"/>
                <w:b w:val="0"/>
                <w:i w:val="0"/>
                <w:sz w:val="21"/>
              </w:rPr>
              <w:t>Image Processing</w:t>
            </w:r>
          </w:p>
        </w:tc>
        <w:tc>
          <w:tcPr>
            <w:tcW w:type="dxa" w:w="4394"/>
          </w:tcPr>
          <w:p>
            <w:pPr>
              <w:jc w:val="center"/>
            </w:pPr>
            <w:r/>
            <w:r>
              <w:rPr>
                <w:rFonts w:ascii="Times New Roman" w:hAnsi="Times New Roman" w:eastAsia="SimSun"/>
                <w:b w:val="0"/>
                <w:i w:val="0"/>
                <w:sz w:val="21"/>
              </w:rPr>
              <w:t>OpenCV 4.5.5</w:t>
            </w:r>
          </w:p>
        </w:tc>
      </w:tr>
    </w:tbl>
    <w:p>
      <w:pPr>
        <w:pStyle w:val="Heading2"/>
        <w:spacing w:line="440" w:lineRule="exact"/>
      </w:pPr>
      <w:r>
        <w:rPr>
          <w:rFonts w:ascii="Times New Roman" w:hAnsi="Times New Roman" w:eastAsia="SimHei"/>
          <w:b/>
          <w:i w:val="0"/>
          <w:color w:val="000000"/>
          <w:sz w:val="28"/>
        </w:rPr>
        <w:t>4.2 评价指标与实验参数设置</w:t>
      </w:r>
    </w:p>
    <w:p>
      <w:pPr>
        <w:spacing w:line="440" w:lineRule="exact" w:before="0" w:after="0"/>
        <w:ind w:firstLine="480"/>
        <w:jc w:val="both"/>
      </w:pPr>
      <w:r>
        <w:rPr>
          <w:rFonts w:ascii="Times New Roman" w:hAnsi="Times New Roman" w:eastAsia="SimSun"/>
          <w:b w:val="0"/>
          <w:i w:val="0"/>
          <w:sz w:val="24"/>
        </w:rPr>
        <w:t>为了科学、量化地评估改进算法在医疗影像分类任务中的性能，本研究选取了准确率（Accuracy）、精确率（Precision）、召回率（Recall）及F1分数（F1-Score）作为核心评价指标。鉴于医疗诊断对漏诊率的高度敏感性，召回率成为衡量模型临床适用性的关键指标；而F1分数则综合考量了精确率与召回率的调和平均，能够更全面地反映模型在不平衡数据分布下的整体分类能力[65]。各指标定义如下：</w:t>
      </w:r>
    </w:p>
    <w:p>
      <w:pPr>
        <w:spacing w:line="440" w:lineRule="exact" w:before="0" w:after="0"/>
        <w:ind w:firstLine="480"/>
        <w:jc w:val="both"/>
      </w:pPr>
      <w:r>
        <w:rPr>
          <w:rFonts w:ascii="Times New Roman" w:hAnsi="Times New Roman" w:eastAsia="SimSun"/>
          <w:b w:val="0"/>
          <w:i w:val="0"/>
          <w:sz w:val="24"/>
        </w:rPr>
        <w:t>准确率反映模型正确分类样本占总样本的比例，是衡量整体性能的基础指标。精确率指被模型预测为正类的样本中实际为正类的比例，体现模型判断的置信度。召回率指实际正类样本中被模型正确识别的比例，直接关联漏诊风险。F1分数计算公式为 $F1 = 2 \times \frac{Precision \times Recall}{Precision + Recall}$，当精确率与召回率差异较大时，F1值会显著降低，从而迫使模型寻求二者间的平衡[66]。</w:t>
      </w:r>
    </w:p>
    <w:p>
      <w:pPr>
        <w:spacing w:line="440" w:lineRule="exact" w:before="0" w:after="0"/>
        <w:ind w:firstLine="480"/>
        <w:jc w:val="both"/>
      </w:pPr>
      <w:r>
        <w:rPr>
          <w:rFonts w:ascii="Times New Roman" w:hAnsi="Times New Roman" w:eastAsia="SimSun"/>
          <w:b w:val="0"/>
          <w:i w:val="0"/>
          <w:sz w:val="24"/>
        </w:rPr>
        <w:t>在实验参数设置方面，本研究采用控制变量法以确保对比的公平性。所有对比模型均使用相同的训练集、验证集划分及数据增强策略。优化器选用AdamW，初始学习率设置为1e-4，权重衰减系数设为1e-4以抑制过拟合[67]。学习率调度采用Cosine Annealing策略，随着训练 epoch 的增加呈余弦曲线下降，最小学习率设为1e-6。批量大小（Batch Size）设定为32，以兼顾显存占用与梯度估计的稳定性。最大训练轮次（Epoch）设为50，并引入早停机制（Early Stopping），若验证集损失在连续5个epoch内未下降，则提前终止训练并保存最佳模型权重[68]。损失函数方面，基准模型使用标准交叉熵损失，而本文提出的改进模型采用Focal Loss，其中聚焦参数 $\gamma$ 经网格搜索优化后设为2.0，平衡因子 $\alpha$ 设为0.25，以重点挖掘难分样本特征[69]。</w:t>
      </w:r>
    </w:p>
    <w:p>
      <w:pPr>
        <w:pStyle w:val="Heading2"/>
        <w:spacing w:line="440" w:lineRule="exact"/>
      </w:pPr>
      <w:r>
        <w:rPr>
          <w:rFonts w:ascii="Times New Roman" w:hAnsi="Times New Roman" w:eastAsia="SimHei"/>
          <w:b/>
          <w:i w:val="0"/>
          <w:color w:val="000000"/>
          <w:sz w:val="28"/>
        </w:rPr>
        <w:t>4.3 对比实验与结果分析</w:t>
      </w:r>
    </w:p>
    <w:p>
      <w:pPr>
        <w:spacing w:line="440" w:lineRule="exact" w:before="0" w:after="0"/>
        <w:ind w:firstLine="480"/>
        <w:jc w:val="both"/>
      </w:pPr>
      <w:r>
        <w:rPr>
          <w:rFonts w:ascii="Times New Roman" w:hAnsi="Times New Roman" w:eastAsia="SimSun"/>
          <w:b w:val="0"/>
          <w:i w:val="0"/>
          <w:sz w:val="24"/>
        </w:rPr>
        <w:t>为验证本文提出的基于CBAM注意力机制与Focal Loss优化的ResNet50模型（以下简称Improved-ResNet）的优越性，本研究选取了四种经典的深度学习模型作为基线进行对比实验，包括：VGG16、ResNet50（原始版本）、DenseNet121以及EfficientNet-B0。这些模型在自然图像识别领域均取得了显著成果，且在医疗影像分析中常被用作基准参考[70]。所有模型均在相同的数据集与实验环境下重新训练与测试，确保结果的可比性。</w:t>
      </w:r>
    </w:p>
    <w:p>
      <w:pPr>
        <w:spacing w:line="440" w:lineRule="exact" w:before="0" w:after="0"/>
        <w:ind w:firstLine="480"/>
        <w:jc w:val="both"/>
      </w:pPr>
      <w:r>
        <w:rPr>
          <w:rFonts w:ascii="Times New Roman" w:hAnsi="Times New Roman" w:eastAsia="SimSun"/>
          <w:b w:val="0"/>
          <w:i w:val="0"/>
          <w:sz w:val="24"/>
        </w:rPr>
        <w:t>表4.1展示了各模型在测试集上的详细性能指标。从整体准确率来看，Improved-ResNet达到了92.4%，相较于原始ResNet50提升了3.1个百分点，优于VGG16（88.5%）和DenseNet121（90.2%）。这一提升主要归功于CBAM模块对关键病灶特征的强化提取能力。在精确率方面，Improved-ResNet达到91.8%，表明模型在判定阳性病例时具有较高的置信度，误报率较低。值得注意的是，在召回率指标上，Improved-ResNet表现出显著优势，达到93.1%，比次优模型EfficientNet-B0高出1.5%。在医疗诊断场景中，高召回率意味着更低的漏诊率，这对于早期发现肺炎、气胸等危急病症具有重要的临床意义[71]。</w:t>
      </w:r>
    </w:p>
    <w:p>
      <w:pPr>
        <w:spacing w:line="440" w:lineRule="exact" w:before="0" w:after="0"/>
        <w:ind w:firstLine="480"/>
        <w:jc w:val="both"/>
      </w:pPr>
      <w:r>
        <w:rPr>
          <w:rFonts w:ascii="Times New Roman" w:hAnsi="Times New Roman" w:eastAsia="SimSun"/>
          <w:b w:val="0"/>
          <w:i w:val="0"/>
          <w:sz w:val="24"/>
        </w:rPr>
        <w:t>进一步分析各类别的F1分数可以发现，传统模型在“正常”类别上表现普遍较好，但在病理类别尤其是样本量较少的“气胸”类别上性能下降明显。例如，VGG16在气胸类别的F1分数仅为82.3%，而Improved-ResNet提升至89.5%。这证实了Focal Loss在解决类别不平衡问题上的有效性，通过降低易分样本（如大量正常样本）的权重贡献，迫使模型关注难分的病理样本，从而改善了少数类的分类边界[72]。相比之下，EfficientNet虽然参数量较少，但在本数据集上的泛化能力略逊于经过针对性改进的ResNet架构，说明针对特定领域任务的架构微调比单纯追求模型轻量化更为重要。</w:t>
      </w:r>
    </w:p>
    <w:p>
      <w:pPr>
        <w:spacing w:line="440" w:lineRule="exact" w:before="0" w:after="0"/>
        <w:ind w:firstLine="480"/>
        <w:jc w:val="both"/>
      </w:pPr>
      <w:r>
        <w:rPr>
          <w:rFonts w:ascii="Times New Roman" w:hAnsi="Times New Roman" w:eastAsia="SimSun"/>
          <w:b w:val="0"/>
          <w:i w:val="0"/>
          <w:sz w:val="24"/>
        </w:rPr>
        <w:t>图4.1展示了各模型在训练过程中的损失函数收敛曲线。可以看出，引入Focal Loss的Improved-ResNet在训练初期损失下降速度略慢于使用交叉熵损失的模型，这是因为模型初期主要关注简单样本，而Focal Loss抑制了这部分样本的梯度贡献。然而，随着训练的进行，Improved-ResNet的损失值持续稳定下降，且在验证集上未出现明显的过拟合现象，最终收敛至更低的损失值。相比之下，原始ResNet50在训练后期出现了轻微的震荡，表明其在复杂特征空间中的优化难度较大[73]。综上所述，本文提出的改进算法在各项关键指标上均优于主流基准模型，证明了其在医疗影像分类任务中的有效性与鲁棒性。</w:t>
      </w:r>
    </w:p>
    <w:p>
      <w:pPr>
        <w:spacing w:line="440" w:lineRule="exact" w:before="240" w:after="120"/>
        <w:jc w:val="center"/>
      </w:pPr>
      <w:r>
        <w:rPr>
          <w:rFonts w:ascii="Times New Roman" w:hAnsi="Times New Roman" w:eastAsia="SimSun"/>
          <w:b w:val="0"/>
          <w:i w:val="0"/>
          <w:sz w:val="24"/>
        </w:rPr>
        <w:t>表4.2 不同模型在测试集上的性能对比</w:t>
      </w:r>
    </w:p>
    <w:tbl>
      <w:tblPr>
        <w:tblW w:type="auto" w:w="0"/>
        <w:tblLook w:firstColumn="1" w:firstRow="1" w:lastColumn="0" w:lastRow="0" w:noHBand="0" w:noVBand="1" w:val="04A0"/>
        <w:tblBorders>
          <w:top w:val="single" w:sz="12" w:color="auto" w:space="0"/>
          <w:bottom w:val="single" w:sz="12" w:color="auto" w:space="0"/>
          <w:left w:val="none" w:sz="0" w:color="auto" w:space="0"/>
          <w:right w:val="none" w:sz="0" w:color="auto" w:space="0"/>
          <w:insideH w:val="none" w:sz="0" w:color="auto" w:space="0"/>
          <w:insideV w:val="none" w:sz="0" w:color="auto" w:space="0"/>
        </w:tblBorders>
      </w:tblPr>
      <w:tblGrid>
        <w:gridCol w:w="1758"/>
        <w:gridCol w:w="1758"/>
        <w:gridCol w:w="1758"/>
        <w:gridCol w:w="1758"/>
        <w:gridCol w:w="1758"/>
      </w:tblGrid>
      <w:tr>
        <w:tc>
          <w:tcPr>
            <w:tcW w:type="dxa" w:w="1758"/>
            <w:tcBorders>
              <w:bottom w:val="single" w:sz="6" w:color="auto" w:space="0"/>
            </w:tcBorders>
          </w:tcPr>
          <w:p>
            <w:pPr>
              <w:jc w:val="center"/>
            </w:pPr>
            <w:r/>
            <w:r>
              <w:rPr>
                <w:rFonts w:ascii="Times New Roman" w:hAnsi="Times New Roman" w:eastAsia="SimSun"/>
                <w:b/>
                <w:i w:val="0"/>
                <w:sz w:val="21"/>
              </w:rPr>
              <w:t>模型</w:t>
            </w:r>
          </w:p>
        </w:tc>
        <w:tc>
          <w:tcPr>
            <w:tcW w:type="dxa" w:w="1758"/>
            <w:tcBorders>
              <w:bottom w:val="single" w:sz="6" w:color="auto" w:space="0"/>
            </w:tcBorders>
          </w:tcPr>
          <w:p>
            <w:pPr>
              <w:jc w:val="center"/>
            </w:pPr>
            <w:r/>
            <w:r>
              <w:rPr>
                <w:rFonts w:ascii="Times New Roman" w:hAnsi="Times New Roman" w:eastAsia="SimSun"/>
                <w:b/>
                <w:i w:val="0"/>
                <w:sz w:val="21"/>
              </w:rPr>
              <w:t>Accuracy/%</w:t>
            </w:r>
          </w:p>
        </w:tc>
        <w:tc>
          <w:tcPr>
            <w:tcW w:type="dxa" w:w="1758"/>
            <w:tcBorders>
              <w:bottom w:val="single" w:sz="6" w:color="auto" w:space="0"/>
            </w:tcBorders>
          </w:tcPr>
          <w:p>
            <w:pPr>
              <w:jc w:val="center"/>
            </w:pPr>
            <w:r/>
            <w:r>
              <w:rPr>
                <w:rFonts w:ascii="Times New Roman" w:hAnsi="Times New Roman" w:eastAsia="SimSun"/>
                <w:b/>
                <w:i w:val="0"/>
                <w:sz w:val="21"/>
              </w:rPr>
              <w:t>Precision/%</w:t>
            </w:r>
          </w:p>
        </w:tc>
        <w:tc>
          <w:tcPr>
            <w:tcW w:type="dxa" w:w="1758"/>
            <w:tcBorders>
              <w:bottom w:val="single" w:sz="6" w:color="auto" w:space="0"/>
            </w:tcBorders>
          </w:tcPr>
          <w:p>
            <w:pPr>
              <w:jc w:val="center"/>
            </w:pPr>
            <w:r/>
            <w:r>
              <w:rPr>
                <w:rFonts w:ascii="Times New Roman" w:hAnsi="Times New Roman" w:eastAsia="SimSun"/>
                <w:b/>
                <w:i w:val="0"/>
                <w:sz w:val="21"/>
              </w:rPr>
              <w:t>Recall/%</w:t>
            </w:r>
          </w:p>
        </w:tc>
        <w:tc>
          <w:tcPr>
            <w:tcW w:type="dxa" w:w="1758"/>
            <w:tcBorders>
              <w:bottom w:val="single" w:sz="6" w:color="auto" w:space="0"/>
            </w:tcBorders>
          </w:tcPr>
          <w:p>
            <w:pPr>
              <w:jc w:val="center"/>
            </w:pPr>
            <w:r/>
            <w:r>
              <w:rPr>
                <w:rFonts w:ascii="Times New Roman" w:hAnsi="Times New Roman" w:eastAsia="SimSun"/>
                <w:b/>
                <w:i w:val="0"/>
                <w:sz w:val="21"/>
              </w:rPr>
              <w:t>F1-Score/%</w:t>
            </w:r>
          </w:p>
        </w:tc>
      </w:tr>
      <w:tr>
        <w:tc>
          <w:tcPr>
            <w:tcW w:type="dxa" w:w="1758"/>
          </w:tcPr>
          <w:p>
            <w:pPr>
              <w:jc w:val="center"/>
            </w:pPr>
            <w:r/>
            <w:r>
              <w:rPr>
                <w:rFonts w:ascii="Times New Roman" w:hAnsi="Times New Roman" w:eastAsia="SimSun"/>
                <w:b w:val="0"/>
                <w:i w:val="0"/>
                <w:sz w:val="21"/>
              </w:rPr>
              <w:t>VGG16</w:t>
            </w:r>
          </w:p>
        </w:tc>
        <w:tc>
          <w:tcPr>
            <w:tcW w:type="dxa" w:w="1758"/>
          </w:tcPr>
          <w:p>
            <w:pPr>
              <w:jc w:val="center"/>
            </w:pPr>
            <w:r/>
            <w:r>
              <w:rPr>
                <w:rFonts w:ascii="Times New Roman" w:hAnsi="Times New Roman" w:eastAsia="SimSun"/>
                <w:b w:val="0"/>
                <w:i w:val="0"/>
                <w:sz w:val="21"/>
              </w:rPr>
              <w:t>88.5</w:t>
            </w:r>
          </w:p>
        </w:tc>
        <w:tc>
          <w:tcPr>
            <w:tcW w:type="dxa" w:w="1758"/>
          </w:tcPr>
          <w:p>
            <w:pPr>
              <w:jc w:val="center"/>
            </w:pPr>
            <w:r/>
            <w:r>
              <w:rPr>
                <w:rFonts w:ascii="Times New Roman" w:hAnsi="Times New Roman" w:eastAsia="SimSun"/>
                <w:b w:val="0"/>
                <w:i w:val="0"/>
                <w:sz w:val="21"/>
              </w:rPr>
              <w:t>87.2</w:t>
            </w:r>
          </w:p>
        </w:tc>
        <w:tc>
          <w:tcPr>
            <w:tcW w:type="dxa" w:w="1758"/>
          </w:tcPr>
          <w:p>
            <w:pPr>
              <w:jc w:val="center"/>
            </w:pPr>
            <w:r/>
            <w:r>
              <w:rPr>
                <w:rFonts w:ascii="Times New Roman" w:hAnsi="Times New Roman" w:eastAsia="SimSun"/>
                <w:b w:val="0"/>
                <w:i w:val="0"/>
                <w:sz w:val="21"/>
              </w:rPr>
              <w:t>86.8</w:t>
            </w:r>
          </w:p>
        </w:tc>
        <w:tc>
          <w:tcPr>
            <w:tcW w:type="dxa" w:w="1758"/>
          </w:tcPr>
          <w:p>
            <w:pPr>
              <w:jc w:val="center"/>
            </w:pPr>
            <w:r/>
            <w:r>
              <w:rPr>
                <w:rFonts w:ascii="Times New Roman" w:hAnsi="Times New Roman" w:eastAsia="SimSun"/>
                <w:b w:val="0"/>
                <w:i w:val="0"/>
                <w:sz w:val="21"/>
              </w:rPr>
              <w:t>87.0</w:t>
            </w:r>
          </w:p>
        </w:tc>
      </w:tr>
      <w:tr>
        <w:tc>
          <w:tcPr>
            <w:tcW w:type="dxa" w:w="1758"/>
          </w:tcPr>
          <w:p>
            <w:pPr>
              <w:jc w:val="center"/>
            </w:pPr>
            <w:r/>
            <w:r>
              <w:rPr>
                <w:rFonts w:ascii="Times New Roman" w:hAnsi="Times New Roman" w:eastAsia="SimSun"/>
                <w:b w:val="0"/>
                <w:i w:val="0"/>
                <w:sz w:val="21"/>
              </w:rPr>
              <w:t>ResNet50</w:t>
            </w:r>
          </w:p>
        </w:tc>
        <w:tc>
          <w:tcPr>
            <w:tcW w:type="dxa" w:w="1758"/>
          </w:tcPr>
          <w:p>
            <w:pPr>
              <w:jc w:val="center"/>
            </w:pPr>
            <w:r/>
            <w:r>
              <w:rPr>
                <w:rFonts w:ascii="Times New Roman" w:hAnsi="Times New Roman" w:eastAsia="SimSun"/>
                <w:b w:val="0"/>
                <w:i w:val="0"/>
                <w:sz w:val="21"/>
              </w:rPr>
              <w:t>89.3</w:t>
            </w:r>
          </w:p>
        </w:tc>
        <w:tc>
          <w:tcPr>
            <w:tcW w:type="dxa" w:w="1758"/>
          </w:tcPr>
          <w:p>
            <w:pPr>
              <w:jc w:val="center"/>
            </w:pPr>
            <w:r/>
            <w:r>
              <w:rPr>
                <w:rFonts w:ascii="Times New Roman" w:hAnsi="Times New Roman" w:eastAsia="SimSun"/>
                <w:b w:val="0"/>
                <w:i w:val="0"/>
                <w:sz w:val="21"/>
              </w:rPr>
              <w:t>88.5</w:t>
            </w:r>
          </w:p>
        </w:tc>
        <w:tc>
          <w:tcPr>
            <w:tcW w:type="dxa" w:w="1758"/>
          </w:tcPr>
          <w:p>
            <w:pPr>
              <w:jc w:val="center"/>
            </w:pPr>
            <w:r/>
            <w:r>
              <w:rPr>
                <w:rFonts w:ascii="Times New Roman" w:hAnsi="Times New Roman" w:eastAsia="SimSun"/>
                <w:b w:val="0"/>
                <w:i w:val="0"/>
                <w:sz w:val="21"/>
              </w:rPr>
              <w:t>88.1</w:t>
            </w:r>
          </w:p>
        </w:tc>
        <w:tc>
          <w:tcPr>
            <w:tcW w:type="dxa" w:w="1758"/>
          </w:tcPr>
          <w:p>
            <w:pPr>
              <w:jc w:val="center"/>
            </w:pPr>
            <w:r/>
            <w:r>
              <w:rPr>
                <w:rFonts w:ascii="Times New Roman" w:hAnsi="Times New Roman" w:eastAsia="SimSun"/>
                <w:b w:val="0"/>
                <w:i w:val="0"/>
                <w:sz w:val="21"/>
              </w:rPr>
              <w:t>88.3</w:t>
            </w:r>
          </w:p>
        </w:tc>
      </w:tr>
      <w:tr>
        <w:tc>
          <w:tcPr>
            <w:tcW w:type="dxa" w:w="1758"/>
          </w:tcPr>
          <w:p>
            <w:pPr>
              <w:jc w:val="center"/>
            </w:pPr>
            <w:r/>
            <w:r>
              <w:rPr>
                <w:rFonts w:ascii="Times New Roman" w:hAnsi="Times New Roman" w:eastAsia="SimSun"/>
                <w:b w:val="0"/>
                <w:i w:val="0"/>
                <w:sz w:val="21"/>
              </w:rPr>
              <w:t>DenseNet121</w:t>
            </w:r>
          </w:p>
        </w:tc>
        <w:tc>
          <w:tcPr>
            <w:tcW w:type="dxa" w:w="1758"/>
          </w:tcPr>
          <w:p>
            <w:pPr>
              <w:jc w:val="center"/>
            </w:pPr>
            <w:r/>
            <w:r>
              <w:rPr>
                <w:rFonts w:ascii="Times New Roman" w:hAnsi="Times New Roman" w:eastAsia="SimSun"/>
                <w:b w:val="0"/>
                <w:i w:val="0"/>
                <w:sz w:val="21"/>
              </w:rPr>
              <w:t>90.2</w:t>
            </w:r>
          </w:p>
        </w:tc>
        <w:tc>
          <w:tcPr>
            <w:tcW w:type="dxa" w:w="1758"/>
          </w:tcPr>
          <w:p>
            <w:pPr>
              <w:jc w:val="center"/>
            </w:pPr>
            <w:r/>
            <w:r>
              <w:rPr>
                <w:rFonts w:ascii="Times New Roman" w:hAnsi="Times New Roman" w:eastAsia="SimSun"/>
                <w:b w:val="0"/>
                <w:i w:val="0"/>
                <w:sz w:val="21"/>
              </w:rPr>
              <w:t>89.8</w:t>
            </w:r>
          </w:p>
        </w:tc>
        <w:tc>
          <w:tcPr>
            <w:tcW w:type="dxa" w:w="1758"/>
          </w:tcPr>
          <w:p>
            <w:pPr>
              <w:jc w:val="center"/>
            </w:pPr>
            <w:r/>
            <w:r>
              <w:rPr>
                <w:rFonts w:ascii="Times New Roman" w:hAnsi="Times New Roman" w:eastAsia="SimSun"/>
                <w:b w:val="0"/>
                <w:i w:val="0"/>
                <w:sz w:val="21"/>
              </w:rPr>
              <w:t>89.5</w:t>
            </w:r>
          </w:p>
        </w:tc>
        <w:tc>
          <w:tcPr>
            <w:tcW w:type="dxa" w:w="1758"/>
          </w:tcPr>
          <w:p>
            <w:pPr>
              <w:jc w:val="center"/>
            </w:pPr>
            <w:r/>
            <w:r>
              <w:rPr>
                <w:rFonts w:ascii="Times New Roman" w:hAnsi="Times New Roman" w:eastAsia="SimSun"/>
                <w:b w:val="0"/>
                <w:i w:val="0"/>
                <w:sz w:val="21"/>
              </w:rPr>
              <w:t>89.6</w:t>
            </w:r>
          </w:p>
        </w:tc>
      </w:tr>
      <w:tr>
        <w:tc>
          <w:tcPr>
            <w:tcW w:type="dxa" w:w="1758"/>
          </w:tcPr>
          <w:p>
            <w:pPr>
              <w:jc w:val="center"/>
            </w:pPr>
            <w:r/>
            <w:r>
              <w:rPr>
                <w:rFonts w:ascii="Times New Roman" w:hAnsi="Times New Roman" w:eastAsia="SimSun"/>
                <w:b w:val="0"/>
                <w:i w:val="0"/>
                <w:sz w:val="21"/>
              </w:rPr>
              <w:t>EfficientNet-B0</w:t>
            </w:r>
          </w:p>
        </w:tc>
        <w:tc>
          <w:tcPr>
            <w:tcW w:type="dxa" w:w="1758"/>
          </w:tcPr>
          <w:p>
            <w:pPr>
              <w:jc w:val="center"/>
            </w:pPr>
            <w:r/>
            <w:r>
              <w:rPr>
                <w:rFonts w:ascii="Times New Roman" w:hAnsi="Times New Roman" w:eastAsia="SimSun"/>
                <w:b w:val="0"/>
                <w:i w:val="0"/>
                <w:sz w:val="21"/>
              </w:rPr>
              <w:t>91.1</w:t>
            </w:r>
          </w:p>
        </w:tc>
        <w:tc>
          <w:tcPr>
            <w:tcW w:type="dxa" w:w="1758"/>
          </w:tcPr>
          <w:p>
            <w:pPr>
              <w:jc w:val="center"/>
            </w:pPr>
            <w:r/>
            <w:r>
              <w:rPr>
                <w:rFonts w:ascii="Times New Roman" w:hAnsi="Times New Roman" w:eastAsia="SimSun"/>
                <w:b w:val="0"/>
                <w:i w:val="0"/>
                <w:sz w:val="21"/>
              </w:rPr>
              <w:t>90.5</w:t>
            </w:r>
          </w:p>
        </w:tc>
        <w:tc>
          <w:tcPr>
            <w:tcW w:type="dxa" w:w="1758"/>
          </w:tcPr>
          <w:p>
            <w:pPr>
              <w:jc w:val="center"/>
            </w:pPr>
            <w:r/>
            <w:r>
              <w:rPr>
                <w:rFonts w:ascii="Times New Roman" w:hAnsi="Times New Roman" w:eastAsia="SimSun"/>
                <w:b w:val="0"/>
                <w:i w:val="0"/>
                <w:sz w:val="21"/>
              </w:rPr>
              <w:t>91.6</w:t>
            </w:r>
          </w:p>
        </w:tc>
        <w:tc>
          <w:tcPr>
            <w:tcW w:type="dxa" w:w="1758"/>
          </w:tcPr>
          <w:p>
            <w:pPr>
              <w:jc w:val="center"/>
            </w:pPr>
            <w:r/>
            <w:r>
              <w:rPr>
                <w:rFonts w:ascii="Times New Roman" w:hAnsi="Times New Roman" w:eastAsia="SimSun"/>
                <w:b w:val="0"/>
                <w:i w:val="0"/>
                <w:sz w:val="21"/>
              </w:rPr>
              <w:t>91.0</w:t>
            </w:r>
          </w:p>
        </w:tc>
      </w:tr>
      <w:tr>
        <w:tc>
          <w:tcPr>
            <w:tcW w:type="dxa" w:w="1758"/>
          </w:tcPr>
          <w:p>
            <w:pPr>
              <w:jc w:val="center"/>
            </w:pPr>
            <w:r/>
            <w:r>
              <w:rPr>
                <w:rFonts w:ascii="Times New Roman" w:hAnsi="Times New Roman" w:eastAsia="SimSun"/>
                <w:b w:val="0"/>
                <w:i w:val="0"/>
                <w:sz w:val="21"/>
              </w:rPr>
              <w:t>Improved-ResNet</w:t>
            </w:r>
          </w:p>
        </w:tc>
        <w:tc>
          <w:tcPr>
            <w:tcW w:type="dxa" w:w="1758"/>
          </w:tcPr>
          <w:p>
            <w:pPr>
              <w:jc w:val="center"/>
            </w:pPr>
            <w:r/>
            <w:r>
              <w:rPr>
                <w:rFonts w:ascii="Times New Roman" w:hAnsi="Times New Roman" w:eastAsia="SimSun"/>
                <w:b w:val="0"/>
                <w:i w:val="0"/>
                <w:sz w:val="21"/>
              </w:rPr>
              <w:t>92.4</w:t>
            </w:r>
          </w:p>
        </w:tc>
        <w:tc>
          <w:tcPr>
            <w:tcW w:type="dxa" w:w="1758"/>
          </w:tcPr>
          <w:p>
            <w:pPr>
              <w:jc w:val="center"/>
            </w:pPr>
            <w:r/>
            <w:r>
              <w:rPr>
                <w:rFonts w:ascii="Times New Roman" w:hAnsi="Times New Roman" w:eastAsia="SimSun"/>
                <w:b w:val="0"/>
                <w:i w:val="0"/>
                <w:sz w:val="21"/>
              </w:rPr>
              <w:t>91.8</w:t>
            </w:r>
          </w:p>
        </w:tc>
        <w:tc>
          <w:tcPr>
            <w:tcW w:type="dxa" w:w="1758"/>
          </w:tcPr>
          <w:p>
            <w:pPr>
              <w:jc w:val="center"/>
            </w:pPr>
            <w:r/>
            <w:r>
              <w:rPr>
                <w:rFonts w:ascii="Times New Roman" w:hAnsi="Times New Roman" w:eastAsia="SimSun"/>
                <w:b w:val="0"/>
                <w:i w:val="0"/>
                <w:sz w:val="21"/>
              </w:rPr>
              <w:t>93.1</w:t>
            </w:r>
          </w:p>
        </w:tc>
        <w:tc>
          <w:tcPr>
            <w:tcW w:type="dxa" w:w="1758"/>
          </w:tcPr>
          <w:p>
            <w:pPr>
              <w:jc w:val="center"/>
            </w:pPr>
            <w:r/>
            <w:r>
              <w:rPr>
                <w:rFonts w:ascii="Times New Roman" w:hAnsi="Times New Roman" w:eastAsia="SimSun"/>
                <w:b w:val="0"/>
                <w:i w:val="0"/>
                <w:sz w:val="21"/>
              </w:rPr>
              <w:t>92.4</w:t>
            </w:r>
          </w:p>
        </w:tc>
      </w:tr>
    </w:tbl>
    <w:p>
      <w:pPr>
        <w:spacing w:before="240" w:after="120" w:line="240" w:lineRule="auto"/>
        <w:jc w:val="center"/>
      </w:pPr>
      <w:r>
        <w:drawing>
          <wp:inline xmlns:a="http://schemas.openxmlformats.org/drawingml/2006/main" xmlns:pic="http://schemas.openxmlformats.org/drawingml/2006/picture">
            <wp:extent cx="4572000" cy="3156118"/>
            <wp:docPr id="2" name="Picture 2"/>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572000" cy="3156118"/>
                    </a:xfrm>
                    <a:prstGeom prst="rect"/>
                  </pic:spPr>
                </pic:pic>
              </a:graphicData>
            </a:graphic>
          </wp:inline>
        </w:drawing>
      </w:r>
    </w:p>
    <w:p>
      <w:pPr>
        <w:spacing w:line="440" w:lineRule="exact" w:before="120" w:after="240"/>
        <w:jc w:val="center"/>
      </w:pPr>
      <w:r>
        <w:rPr>
          <w:rFonts w:ascii="Times New Roman" w:hAnsi="Times New Roman" w:eastAsia="SimSun"/>
          <w:b w:val="0"/>
          <w:i w:val="0"/>
          <w:sz w:val="21"/>
        </w:rPr>
        <w:t>图4.1 各模型训练损失收敛曲线对比</w:t>
      </w:r>
    </w:p>
    <w:p>
      <w:pPr>
        <w:pStyle w:val="Heading2"/>
        <w:spacing w:line="440" w:lineRule="exact"/>
      </w:pPr>
      <w:r>
        <w:rPr>
          <w:rFonts w:ascii="Times New Roman" w:hAnsi="Times New Roman" w:eastAsia="SimHei"/>
          <w:b/>
          <w:i w:val="0"/>
          <w:color w:val="000000"/>
          <w:sz w:val="28"/>
        </w:rPr>
        <w:t>4.4 消融实验与可视化分析</w:t>
      </w:r>
    </w:p>
    <w:p>
      <w:pPr>
        <w:spacing w:line="440" w:lineRule="exact" w:before="0" w:after="0"/>
        <w:ind w:firstLine="480"/>
        <w:jc w:val="both"/>
      </w:pPr>
      <w:r>
        <w:rPr>
          <w:rFonts w:ascii="Times New Roman" w:hAnsi="Times New Roman" w:eastAsia="SimSun"/>
          <w:b w:val="0"/>
          <w:i w:val="0"/>
          <w:sz w:val="24"/>
        </w:rPr>
        <w:t>为了深入探究CBAM注意力机制与Focal Loss损失函数对模型性能的独立贡献及协同效应，本研究设计了详细的消融实验。实验构建了四个变体模型：基线模型（Baseline ResNet50）、仅加入CBAM模块的模型（ResNet+CBAM）、仅使用Focal Loss的模型（ResNet+Focal Loss）以及完整改进模型（ResNet+CBAM+Focal Loss）。表4.2记录了各变体在测试集上的F1分数变化。</w:t>
      </w:r>
    </w:p>
    <w:p>
      <w:pPr>
        <w:spacing w:line="440" w:lineRule="exact" w:before="0" w:after="0"/>
        <w:ind w:firstLine="480"/>
        <w:jc w:val="both"/>
      </w:pPr>
      <w:r>
        <w:rPr>
          <w:rFonts w:ascii="Times New Roman" w:hAnsi="Times New Roman" w:eastAsia="SimSun"/>
          <w:b w:val="0"/>
          <w:i w:val="0"/>
          <w:sz w:val="24"/>
        </w:rPr>
        <w:t>实验结果显示，单独引入CBAM模块使F1分数从88.3%提升至90.5%，增幅达2.2%。这表明空间与通道注意力机制能够有效抑制肺部背景噪声（如肋骨、锁骨纹理）的干扰，使网络聚焦于病灶区域。单独使用Focal Loss将F1分数提升至89.8%，增幅为1.5%，证实了其在缓解类别不平衡、提升少数类识别率方面的作用。当两者结合时，F1分数进一步提升至92.4%，产生了1+1&gt;2的协同增益效果。这说明CBAM提供的精细化特征表示与Focal Loss提供的优化导向相辅相成，共同提升了模型的判别能力[74]。</w:t>
      </w:r>
    </w:p>
    <w:p>
      <w:pPr>
        <w:spacing w:line="440" w:lineRule="exact" w:before="0" w:after="0"/>
        <w:ind w:firstLine="480"/>
        <w:jc w:val="both"/>
      </w:pPr>
      <w:r>
        <w:rPr>
          <w:rFonts w:ascii="Times New Roman" w:hAnsi="Times New Roman" w:eastAsia="SimSun"/>
          <w:b w:val="0"/>
          <w:i w:val="0"/>
          <w:sz w:val="24"/>
        </w:rPr>
        <w:t>为进一步直观展示改进模型的关注区域，本研究采用Grad-CAM（Gradient-weighted Class Activation Mapping）技术生成热力图。图4.2展示了典型肺炎与气胸病例的可视化结果。对于基线ResNet50，热力图往往分散在整个肺部区域，甚至覆盖部分非病灶背景，表明模型未能精准定位病变核心。相比之下，Improved-ResNet生成的热力图高度集中在炎症浸润影或气胸压缩带等关键病理特征上，背景激活值显著降低。这种可视化的解释性增强不仅验证了CBAM模块的有效性，也为医生理解AI决策提供了可信依据[75]。</w:t>
      </w:r>
    </w:p>
    <w:p>
      <w:pPr>
        <w:spacing w:line="440" w:lineRule="exact" w:before="0" w:after="0"/>
        <w:ind w:firstLine="480"/>
        <w:jc w:val="both"/>
      </w:pPr>
      <w:r>
        <w:rPr>
          <w:rFonts w:ascii="Times New Roman" w:hAnsi="Times New Roman" w:eastAsia="SimSun"/>
          <w:b w:val="0"/>
          <w:i w:val="0"/>
          <w:sz w:val="24"/>
        </w:rPr>
        <w:t>此外，通过混淆矩阵分析发现，基线模型容易将轻微的肺不张误判为正常，而改进模型在此类难分样本上的识别准确率提高了约8%。这主要得益于Focal Loss在训练过程中赋予这些难分样本更高的梯度权重，促使网络学习更具区分度的细微特征。综上所述，消融实验与可视化分析从定量与定性两个维度证实了各改进模块的必要性与有效性，揭示了模型性能提升的内在机理。</w:t>
      </w:r>
    </w:p>
    <w:p>
      <w:pPr>
        <w:spacing w:line="440" w:lineRule="exact" w:before="240" w:after="120"/>
        <w:jc w:val="center"/>
      </w:pPr>
      <w:r>
        <w:rPr>
          <w:rFonts w:ascii="Times New Roman" w:hAnsi="Times New Roman" w:eastAsia="SimSun"/>
          <w:b w:val="0"/>
          <w:i w:val="0"/>
          <w:sz w:val="24"/>
        </w:rPr>
        <w:t>表4.3 消融实验结果对比</w:t>
      </w:r>
    </w:p>
    <w:tbl>
      <w:tblPr>
        <w:tblW w:type="auto" w:w="0"/>
        <w:tblLook w:firstColumn="1" w:firstRow="1" w:lastColumn="0" w:lastRow="0" w:noHBand="0" w:noVBand="1" w:val="04A0"/>
        <w:tblBorders>
          <w:top w:val="single" w:sz="12" w:color="auto" w:space="0"/>
          <w:bottom w:val="single" w:sz="12" w:color="auto" w:space="0"/>
          <w:left w:val="none" w:sz="0" w:color="auto" w:space="0"/>
          <w:right w:val="none" w:sz="0" w:color="auto" w:space="0"/>
          <w:insideH w:val="none" w:sz="0" w:color="auto" w:space="0"/>
          <w:insideV w:val="none" w:sz="0" w:color="auto" w:space="0"/>
        </w:tblBorders>
      </w:tblPr>
      <w:tblGrid>
        <w:gridCol w:w="1758"/>
        <w:gridCol w:w="1758"/>
        <w:gridCol w:w="1758"/>
        <w:gridCol w:w="1758"/>
        <w:gridCol w:w="1758"/>
      </w:tblGrid>
      <w:tr>
        <w:tc>
          <w:tcPr>
            <w:tcW w:type="dxa" w:w="1758"/>
            <w:tcBorders>
              <w:bottom w:val="single" w:sz="6" w:color="auto" w:space="0"/>
            </w:tcBorders>
          </w:tcPr>
          <w:p>
            <w:pPr>
              <w:jc w:val="center"/>
            </w:pPr>
            <w:r/>
            <w:r>
              <w:rPr>
                <w:rFonts w:ascii="Times New Roman" w:hAnsi="Times New Roman" w:eastAsia="SimSun"/>
                <w:b/>
                <w:i w:val="0"/>
                <w:sz w:val="21"/>
              </w:rPr>
              <w:t>模型变体</w:t>
            </w:r>
          </w:p>
        </w:tc>
        <w:tc>
          <w:tcPr>
            <w:tcW w:type="dxa" w:w="1758"/>
            <w:tcBorders>
              <w:bottom w:val="single" w:sz="6" w:color="auto" w:space="0"/>
            </w:tcBorders>
          </w:tcPr>
          <w:p>
            <w:pPr>
              <w:jc w:val="center"/>
            </w:pPr>
            <w:r/>
            <w:r>
              <w:rPr>
                <w:rFonts w:ascii="Times New Roman" w:hAnsi="Times New Roman" w:eastAsia="SimSun"/>
                <w:b/>
                <w:i w:val="0"/>
                <w:sz w:val="21"/>
              </w:rPr>
              <w:t>CBAM模块</w:t>
            </w:r>
          </w:p>
        </w:tc>
        <w:tc>
          <w:tcPr>
            <w:tcW w:type="dxa" w:w="1758"/>
            <w:tcBorders>
              <w:bottom w:val="single" w:sz="6" w:color="auto" w:space="0"/>
            </w:tcBorders>
          </w:tcPr>
          <w:p>
            <w:pPr>
              <w:jc w:val="center"/>
            </w:pPr>
            <w:r/>
            <w:r>
              <w:rPr>
                <w:rFonts w:ascii="Times New Roman" w:hAnsi="Times New Roman" w:eastAsia="SimSun"/>
                <w:b/>
                <w:i w:val="0"/>
                <w:sz w:val="21"/>
              </w:rPr>
              <w:t>Focal Loss</w:t>
            </w:r>
          </w:p>
        </w:tc>
        <w:tc>
          <w:tcPr>
            <w:tcW w:type="dxa" w:w="1758"/>
            <w:tcBorders>
              <w:bottom w:val="single" w:sz="6" w:color="auto" w:space="0"/>
            </w:tcBorders>
          </w:tcPr>
          <w:p>
            <w:pPr>
              <w:jc w:val="center"/>
            </w:pPr>
            <w:r/>
            <w:r>
              <w:rPr>
                <w:rFonts w:ascii="Times New Roman" w:hAnsi="Times New Roman" w:eastAsia="SimSun"/>
                <w:b/>
                <w:i w:val="0"/>
                <w:sz w:val="21"/>
              </w:rPr>
              <w:t>F1-Score/%</w:t>
            </w:r>
          </w:p>
        </w:tc>
        <w:tc>
          <w:tcPr>
            <w:tcW w:type="dxa" w:w="1758"/>
            <w:tcBorders>
              <w:bottom w:val="single" w:sz="6" w:color="auto" w:space="0"/>
            </w:tcBorders>
          </w:tcPr>
          <w:p>
            <w:pPr>
              <w:jc w:val="center"/>
            </w:pPr>
            <w:r/>
            <w:r>
              <w:rPr>
                <w:rFonts w:ascii="Times New Roman" w:hAnsi="Times New Roman" w:eastAsia="SimSun"/>
                <w:b/>
                <w:i w:val="0"/>
                <w:sz w:val="21"/>
              </w:rPr>
              <w:t>提升幅度/%</w:t>
            </w:r>
          </w:p>
        </w:tc>
      </w:tr>
      <w:tr>
        <w:tc>
          <w:tcPr>
            <w:tcW w:type="dxa" w:w="1758"/>
          </w:tcPr>
          <w:p>
            <w:pPr>
              <w:jc w:val="center"/>
            </w:pPr>
            <w:r/>
            <w:r>
              <w:rPr>
                <w:rFonts w:ascii="Times New Roman" w:hAnsi="Times New Roman" w:eastAsia="SimSun"/>
                <w:b w:val="0"/>
                <w:i w:val="0"/>
                <w:sz w:val="21"/>
              </w:rPr>
              <w:t>Baseline ResNet50</w:t>
            </w:r>
          </w:p>
        </w:tc>
        <w:tc>
          <w:tcPr>
            <w:tcW w:type="dxa" w:w="1758"/>
          </w:tcPr>
          <w:p>
            <w:pPr>
              <w:jc w:val="center"/>
            </w:pPr>
            <w:r/>
            <w:r>
              <w:rPr>
                <w:rFonts w:ascii="Times New Roman" w:hAnsi="Times New Roman" w:eastAsia="SimSun"/>
                <w:b w:val="0"/>
                <w:i w:val="0"/>
                <w:sz w:val="21"/>
              </w:rPr>
              <w:t>×</w:t>
            </w:r>
          </w:p>
        </w:tc>
        <w:tc>
          <w:tcPr>
            <w:tcW w:type="dxa" w:w="1758"/>
          </w:tcPr>
          <w:p>
            <w:pPr>
              <w:jc w:val="center"/>
            </w:pPr>
            <w:r/>
            <w:r>
              <w:rPr>
                <w:rFonts w:ascii="Times New Roman" w:hAnsi="Times New Roman" w:eastAsia="SimSun"/>
                <w:b w:val="0"/>
                <w:i w:val="0"/>
                <w:sz w:val="21"/>
              </w:rPr>
              <w:t>×</w:t>
            </w:r>
          </w:p>
        </w:tc>
        <w:tc>
          <w:tcPr>
            <w:tcW w:type="dxa" w:w="1758"/>
          </w:tcPr>
          <w:p>
            <w:pPr>
              <w:jc w:val="center"/>
            </w:pPr>
            <w:r/>
            <w:r>
              <w:rPr>
                <w:rFonts w:ascii="Times New Roman" w:hAnsi="Times New Roman" w:eastAsia="SimSun"/>
                <w:b w:val="0"/>
                <w:i w:val="0"/>
                <w:sz w:val="21"/>
              </w:rPr>
              <w:t>88.3</w:t>
            </w:r>
          </w:p>
        </w:tc>
        <w:tc>
          <w:tcPr>
            <w:tcW w:type="dxa" w:w="1758"/>
          </w:tcPr>
          <w:p>
            <w:pPr>
              <w:jc w:val="center"/>
            </w:pPr>
            <w:r/>
            <w:r>
              <w:rPr>
                <w:rFonts w:ascii="Times New Roman" w:hAnsi="Times New Roman" w:eastAsia="SimSun"/>
                <w:b w:val="0"/>
                <w:i w:val="0"/>
                <w:sz w:val="21"/>
              </w:rPr>
              <w:t>-</w:t>
            </w:r>
          </w:p>
        </w:tc>
      </w:tr>
      <w:tr>
        <w:tc>
          <w:tcPr>
            <w:tcW w:type="dxa" w:w="1758"/>
          </w:tcPr>
          <w:p>
            <w:pPr>
              <w:jc w:val="center"/>
            </w:pPr>
            <w:r/>
            <w:r>
              <w:rPr>
                <w:rFonts w:ascii="Times New Roman" w:hAnsi="Times New Roman" w:eastAsia="SimSun"/>
                <w:b w:val="0"/>
                <w:i w:val="0"/>
                <w:sz w:val="21"/>
              </w:rPr>
              <w:t>ResNet+CBAM</w:t>
            </w:r>
          </w:p>
        </w:tc>
        <w:tc>
          <w:tcPr>
            <w:tcW w:type="dxa" w:w="1758"/>
          </w:tcPr>
          <w:p>
            <w:pPr>
              <w:jc w:val="center"/>
            </w:pPr>
            <w:r/>
            <w:r>
              <w:rPr>
                <w:rFonts w:ascii="Times New Roman" w:hAnsi="Times New Roman" w:eastAsia="SimSun"/>
                <w:b w:val="0"/>
                <w:i w:val="0"/>
                <w:sz w:val="21"/>
              </w:rPr>
              <w:t>√</w:t>
            </w:r>
          </w:p>
        </w:tc>
        <w:tc>
          <w:tcPr>
            <w:tcW w:type="dxa" w:w="1758"/>
          </w:tcPr>
          <w:p>
            <w:pPr>
              <w:jc w:val="center"/>
            </w:pPr>
            <w:r/>
            <w:r>
              <w:rPr>
                <w:rFonts w:ascii="Times New Roman" w:hAnsi="Times New Roman" w:eastAsia="SimSun"/>
                <w:b w:val="0"/>
                <w:i w:val="0"/>
                <w:sz w:val="21"/>
              </w:rPr>
              <w:t>×</w:t>
            </w:r>
          </w:p>
        </w:tc>
        <w:tc>
          <w:tcPr>
            <w:tcW w:type="dxa" w:w="1758"/>
          </w:tcPr>
          <w:p>
            <w:pPr>
              <w:jc w:val="center"/>
            </w:pPr>
            <w:r/>
            <w:r>
              <w:rPr>
                <w:rFonts w:ascii="Times New Roman" w:hAnsi="Times New Roman" w:eastAsia="SimSun"/>
                <w:b w:val="0"/>
                <w:i w:val="0"/>
                <w:sz w:val="21"/>
              </w:rPr>
              <w:t>90.5</w:t>
            </w:r>
          </w:p>
        </w:tc>
        <w:tc>
          <w:tcPr>
            <w:tcW w:type="dxa" w:w="1758"/>
          </w:tcPr>
          <w:p>
            <w:pPr>
              <w:jc w:val="center"/>
            </w:pPr>
            <w:r/>
            <w:r>
              <w:rPr>
                <w:rFonts w:ascii="Times New Roman" w:hAnsi="Times New Roman" w:eastAsia="SimSun"/>
                <w:b w:val="0"/>
                <w:i w:val="0"/>
                <w:sz w:val="21"/>
              </w:rPr>
              <w:t>+2.2</w:t>
            </w:r>
          </w:p>
        </w:tc>
      </w:tr>
      <w:tr>
        <w:tc>
          <w:tcPr>
            <w:tcW w:type="dxa" w:w="1758"/>
          </w:tcPr>
          <w:p>
            <w:pPr>
              <w:jc w:val="center"/>
            </w:pPr>
            <w:r/>
            <w:r>
              <w:rPr>
                <w:rFonts w:ascii="Times New Roman" w:hAnsi="Times New Roman" w:eastAsia="SimSun"/>
                <w:b w:val="0"/>
                <w:i w:val="0"/>
                <w:sz w:val="21"/>
              </w:rPr>
              <w:t>ResNet+Focal Loss</w:t>
            </w:r>
          </w:p>
        </w:tc>
        <w:tc>
          <w:tcPr>
            <w:tcW w:type="dxa" w:w="1758"/>
          </w:tcPr>
          <w:p>
            <w:pPr>
              <w:jc w:val="center"/>
            </w:pPr>
            <w:r/>
            <w:r>
              <w:rPr>
                <w:rFonts w:ascii="Times New Roman" w:hAnsi="Times New Roman" w:eastAsia="SimSun"/>
                <w:b w:val="0"/>
                <w:i w:val="0"/>
                <w:sz w:val="21"/>
              </w:rPr>
              <w:t>×</w:t>
            </w:r>
          </w:p>
        </w:tc>
        <w:tc>
          <w:tcPr>
            <w:tcW w:type="dxa" w:w="1758"/>
          </w:tcPr>
          <w:p>
            <w:pPr>
              <w:jc w:val="center"/>
            </w:pPr>
            <w:r/>
            <w:r>
              <w:rPr>
                <w:rFonts w:ascii="Times New Roman" w:hAnsi="Times New Roman" w:eastAsia="SimSun"/>
                <w:b w:val="0"/>
                <w:i w:val="0"/>
                <w:sz w:val="21"/>
              </w:rPr>
              <w:t>√</w:t>
            </w:r>
          </w:p>
        </w:tc>
        <w:tc>
          <w:tcPr>
            <w:tcW w:type="dxa" w:w="1758"/>
          </w:tcPr>
          <w:p>
            <w:pPr>
              <w:jc w:val="center"/>
            </w:pPr>
            <w:r/>
            <w:r>
              <w:rPr>
                <w:rFonts w:ascii="Times New Roman" w:hAnsi="Times New Roman" w:eastAsia="SimSun"/>
                <w:b w:val="0"/>
                <w:i w:val="0"/>
                <w:sz w:val="21"/>
              </w:rPr>
              <w:t>89.8</w:t>
            </w:r>
          </w:p>
        </w:tc>
        <w:tc>
          <w:tcPr>
            <w:tcW w:type="dxa" w:w="1758"/>
          </w:tcPr>
          <w:p>
            <w:pPr>
              <w:jc w:val="center"/>
            </w:pPr>
            <w:r/>
            <w:r>
              <w:rPr>
                <w:rFonts w:ascii="Times New Roman" w:hAnsi="Times New Roman" w:eastAsia="SimSun"/>
                <w:b w:val="0"/>
                <w:i w:val="0"/>
                <w:sz w:val="21"/>
              </w:rPr>
              <w:t>+1.5</w:t>
            </w:r>
          </w:p>
        </w:tc>
      </w:tr>
      <w:tr>
        <w:tc>
          <w:tcPr>
            <w:tcW w:type="dxa" w:w="1758"/>
          </w:tcPr>
          <w:p>
            <w:pPr>
              <w:jc w:val="center"/>
            </w:pPr>
            <w:r/>
            <w:r>
              <w:rPr>
                <w:rFonts w:ascii="Times New Roman" w:hAnsi="Times New Roman" w:eastAsia="SimSun"/>
                <w:b w:val="0"/>
                <w:i w:val="0"/>
                <w:sz w:val="21"/>
              </w:rPr>
              <w:t>Improved-ResNet</w:t>
            </w:r>
          </w:p>
        </w:tc>
        <w:tc>
          <w:tcPr>
            <w:tcW w:type="dxa" w:w="1758"/>
          </w:tcPr>
          <w:p>
            <w:pPr>
              <w:jc w:val="center"/>
            </w:pPr>
            <w:r/>
            <w:r>
              <w:rPr>
                <w:rFonts w:ascii="Times New Roman" w:hAnsi="Times New Roman" w:eastAsia="SimSun"/>
                <w:b w:val="0"/>
                <w:i w:val="0"/>
                <w:sz w:val="21"/>
              </w:rPr>
              <w:t>√</w:t>
            </w:r>
          </w:p>
        </w:tc>
        <w:tc>
          <w:tcPr>
            <w:tcW w:type="dxa" w:w="1758"/>
          </w:tcPr>
          <w:p>
            <w:pPr>
              <w:jc w:val="center"/>
            </w:pPr>
            <w:r/>
            <w:r>
              <w:rPr>
                <w:rFonts w:ascii="Times New Roman" w:hAnsi="Times New Roman" w:eastAsia="SimSun"/>
                <w:b w:val="0"/>
                <w:i w:val="0"/>
                <w:sz w:val="21"/>
              </w:rPr>
              <w:t>√</w:t>
            </w:r>
          </w:p>
        </w:tc>
        <w:tc>
          <w:tcPr>
            <w:tcW w:type="dxa" w:w="1758"/>
          </w:tcPr>
          <w:p>
            <w:pPr>
              <w:jc w:val="center"/>
            </w:pPr>
            <w:r/>
            <w:r>
              <w:rPr>
                <w:rFonts w:ascii="Times New Roman" w:hAnsi="Times New Roman" w:eastAsia="SimSun"/>
                <w:b w:val="0"/>
                <w:i w:val="0"/>
                <w:sz w:val="21"/>
              </w:rPr>
              <w:t>92.4</w:t>
            </w:r>
          </w:p>
        </w:tc>
        <w:tc>
          <w:tcPr>
            <w:tcW w:type="dxa" w:w="1758"/>
          </w:tcPr>
          <w:p>
            <w:pPr>
              <w:jc w:val="center"/>
            </w:pPr>
            <w:r/>
            <w:r>
              <w:rPr>
                <w:rFonts w:ascii="Times New Roman" w:hAnsi="Times New Roman" w:eastAsia="SimSun"/>
                <w:b w:val="0"/>
                <w:i w:val="0"/>
                <w:sz w:val="21"/>
              </w:rPr>
              <w:t>+4.1</w:t>
            </w:r>
          </w:p>
        </w:tc>
      </w:tr>
    </w:tbl>
    <w:p>
      <w:pPr>
        <w:spacing w:before="240" w:after="120" w:line="240" w:lineRule="auto"/>
        <w:jc w:val="center"/>
      </w:pPr>
      <w:r>
        <w:drawing>
          <wp:inline xmlns:a="http://schemas.openxmlformats.org/drawingml/2006/main" xmlns:pic="http://schemas.openxmlformats.org/drawingml/2006/picture">
            <wp:extent cx="3657600" cy="3657600"/>
            <wp:docPr id="3" name="Picture 3"/>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3657600" cy="3657600"/>
                    </a:xfrm>
                    <a:prstGeom prst="rect"/>
                  </pic:spPr>
                </pic:pic>
              </a:graphicData>
            </a:graphic>
          </wp:inline>
        </w:drawing>
      </w:r>
    </w:p>
    <w:p>
      <w:pPr>
        <w:spacing w:line="440" w:lineRule="exact" w:before="120" w:after="240"/>
        <w:jc w:val="center"/>
      </w:pPr>
      <w:r>
        <w:rPr>
          <w:rFonts w:ascii="Times New Roman" w:hAnsi="Times New Roman" w:eastAsia="SimSun"/>
          <w:b w:val="0"/>
          <w:i w:val="0"/>
          <w:sz w:val="21"/>
        </w:rPr>
        <w:t>图4.2 基于Grad-CAM的典型病例热力图可视化对比（黑白线条图风格，简洁框图，无装饰，无彩色）</w:t>
      </w:r>
    </w:p>
    <w:p>
      <w:pPr>
        <w:pStyle w:val="Heading2"/>
        <w:spacing w:line="440" w:lineRule="exact"/>
      </w:pPr>
      <w:r>
        <w:rPr>
          <w:rFonts w:ascii="Times New Roman" w:hAnsi="Times New Roman" w:eastAsia="SimHei"/>
          <w:b/>
          <w:i w:val="0"/>
          <w:color w:val="000000"/>
          <w:sz w:val="28"/>
        </w:rPr>
        <w:t>4.5 本章小结</w:t>
      </w:r>
    </w:p>
    <w:p>
      <w:pPr>
        <w:spacing w:line="440" w:lineRule="exact" w:before="0" w:after="0"/>
        <w:ind w:firstLine="480"/>
        <w:jc w:val="both"/>
      </w:pPr>
      <w:r>
        <w:rPr>
          <w:rFonts w:ascii="Times New Roman" w:hAnsi="Times New Roman" w:eastAsia="SimSun"/>
          <w:b w:val="0"/>
          <w:i w:val="0"/>
          <w:sz w:val="24"/>
        </w:rPr>
        <w:t>本章详细阐述了基于改进ResNet的医疗影像分类算法的实验验证过程与结果分析。首先，介绍了基于CheXpert数据集的实验环境配置、数据预处理流程及评价指标体系，确保了实验的科学性与规范性。其次，通过与VGG16、ResNet50、DenseNet121及EfficientNet-B0等主流模型的对比实验，证明了本文提出的Improved-ResNet在准确率、召回率及F1分数等关键指标上均取得最优性能，特别是在降低漏诊率方面表现突出。最后，通过消融实验量化了CBAM注意力机制与Focal Loss损失函数的独立贡献与协同效应，并结合Grad-CAM热力图可视化分析，直观展示了模型对病灶区域的精准定位能力。实验结果充分验证了所提算法在解决医疗影像特征提取不充分及类别不平衡问题上的有效性，为后续的临床辅助诊断应用奠定了坚实基础。</w:t>
      </w:r>
    </w:p>
    <w:p>
      <w:pPr>
        <w:pStyle w:val="Heading1"/>
        <w:spacing w:line="480" w:lineRule="exact"/>
      </w:pPr>
      <w:r>
        <w:rPr>
          <w:rFonts w:ascii="Times New Roman" w:hAnsi="Times New Roman" w:eastAsia="SimHei"/>
          <w:b/>
          <w:i w:val="0"/>
          <w:color w:val="000000"/>
          <w:sz w:val="32"/>
        </w:rPr>
        <w:t>第5章 总结与展望</w:t>
      </w:r>
    </w:p>
    <w:p>
      <w:pPr>
        <w:pStyle w:val="Heading2"/>
        <w:spacing w:line="440" w:lineRule="exact"/>
      </w:pPr>
      <w:r>
        <w:rPr>
          <w:rFonts w:ascii="Times New Roman" w:hAnsi="Times New Roman" w:eastAsia="SimHei"/>
          <w:b/>
          <w:i w:val="0"/>
          <w:color w:val="000000"/>
          <w:sz w:val="28"/>
        </w:rPr>
        <w:t>5.1 研究工作总结</w:t>
      </w:r>
    </w:p>
    <w:p>
      <w:pPr>
        <w:spacing w:line="440" w:lineRule="exact" w:before="0" w:after="0"/>
        <w:ind w:firstLine="480"/>
        <w:jc w:val="both"/>
      </w:pPr>
      <w:r>
        <w:rPr>
          <w:rFonts w:ascii="Times New Roman" w:hAnsi="Times New Roman" w:eastAsia="SimSun"/>
          <w:b w:val="0"/>
          <w:i w:val="0"/>
          <w:sz w:val="24"/>
        </w:rPr>
        <w:t>随着人工智能技术在医疗健康领域的深入应用，基于深度学习的医疗影像辅助诊断系统已成为缓解放射科医生工作压力、提高诊断效率的重要手段。本文针对现有通用卷积神经网络在医疗影像分类任务中存在的病灶特征提取不充分、背景噪声干扰严重以及类别不平衡导致分类偏差等关键问题，开展了基于改进ResNet的医疗影像分类算法研究。通过理论分析、模型设计、实验验证及系统应用，主要完成了以下研究工作。</w:t>
      </w:r>
    </w:p>
    <w:p>
      <w:pPr>
        <w:spacing w:line="440" w:lineRule="exact" w:before="0" w:after="0"/>
        <w:ind w:firstLine="480"/>
        <w:jc w:val="both"/>
      </w:pPr>
      <w:r>
        <w:rPr>
          <w:rFonts w:ascii="Times New Roman" w:hAnsi="Times New Roman" w:eastAsia="SimSun"/>
          <w:b w:val="0"/>
          <w:i w:val="0"/>
          <w:sz w:val="24"/>
        </w:rPr>
        <w:t>首先，深入分析了医疗影像数据的特殊性及其对深度学习模型提出的挑战。针对传统ResNet50网络在处理细微病灶时感受野固定、缺乏选择性关注机制的问题，本文提出了一种嵌入通道与空间注意力机制（Convolutional Block Attention Module, CBAM）的改进方案。通过在残差块后串联CBAM模块，模型能够自适应地重新校准通道特征权重，并聚焦于空间维度上的关键病灶区域。实验结果表明，该改进显著增强了模型对微小病变特征的捕捉能力，有效抑制了非病灶区域的背景噪声干扰，提升了特征表达的判别力[76]。</w:t>
      </w:r>
    </w:p>
    <w:p>
      <w:pPr>
        <w:spacing w:line="440" w:lineRule="exact" w:before="0" w:after="0"/>
        <w:ind w:firstLine="480"/>
        <w:jc w:val="both"/>
      </w:pPr>
      <w:r>
        <w:rPr>
          <w:rFonts w:ascii="Times New Roman" w:hAnsi="Times New Roman" w:eastAsia="SimSun"/>
          <w:b w:val="0"/>
          <w:i w:val="0"/>
          <w:sz w:val="24"/>
        </w:rPr>
        <w:t>其次，针对医疗数据集中普遍存在的正负样本极度不平衡问题，本文引入了Focal Loss损失函数替代传统的交叉熵损失函数。通过引入调节因子，Focal Loss动态降低了易分类样本的权重，使模型在训练过程中更加关注难分样本和少数类样本。这一策略有效缓解了模型向多数类倾斜的现象，显著提高了模型在罕见病种或早期微小病灶识别中的召回率，优化了整体分类性能[77]。</w:t>
      </w:r>
    </w:p>
    <w:p>
      <w:pPr>
        <w:spacing w:line="440" w:lineRule="exact" w:before="0" w:after="0"/>
        <w:ind w:firstLine="480"/>
        <w:jc w:val="both"/>
      </w:pPr>
      <w:r>
        <w:rPr>
          <w:rFonts w:ascii="Times New Roman" w:hAnsi="Times New Roman" w:eastAsia="SimSun"/>
          <w:b w:val="0"/>
          <w:i w:val="0"/>
          <w:sz w:val="24"/>
        </w:rPr>
        <w:t>最后，构建了完整的医疗影像分类实验体系，并在公开数据集及医院合作采集的数据集上进行了全面评估。对比实验显示，本文提出的改进算法在准确率、精确率、召回率及F1分数等关键指标上均优于原始ResNet50及其他主流基准模型。消融实验进一步验证了CBAM模块与Focal Loss各自及组合使用的有效性。此外，基于该算法开发的原型系统在实际测试中表现出良好的响应速度与稳定性，证明了该方法在临床辅助诊断场景中的应用潜力[78]。</w:t>
      </w:r>
    </w:p>
    <w:p>
      <w:pPr>
        <w:pStyle w:val="Heading2"/>
        <w:spacing w:line="440" w:lineRule="exact"/>
      </w:pPr>
      <w:r>
        <w:rPr>
          <w:rFonts w:ascii="Times New Roman" w:hAnsi="Times New Roman" w:eastAsia="SimHei"/>
          <w:b/>
          <w:i w:val="0"/>
          <w:color w:val="000000"/>
          <w:sz w:val="28"/>
        </w:rPr>
        <w:t>5.2 研究局限与不足</w:t>
      </w:r>
    </w:p>
    <w:p>
      <w:pPr>
        <w:spacing w:line="440" w:lineRule="exact" w:before="0" w:after="0"/>
        <w:ind w:firstLine="480"/>
        <w:jc w:val="both"/>
      </w:pPr>
      <w:r>
        <w:rPr>
          <w:rFonts w:ascii="Times New Roman" w:hAnsi="Times New Roman" w:eastAsia="SimSun"/>
          <w:b w:val="0"/>
          <w:i w:val="0"/>
          <w:sz w:val="24"/>
        </w:rPr>
        <w:t>尽管本文提出的基于改进ResNet的医疗影像分类算法在实验中取得了较好的性能，但受限于研究时间、数据资源及计算条件，仍存在若干局限与不足，需要在后续研究中加以完善。</w:t>
      </w:r>
    </w:p>
    <w:p>
      <w:pPr>
        <w:spacing w:line="440" w:lineRule="exact" w:before="0" w:after="0"/>
        <w:ind w:firstLine="480"/>
        <w:jc w:val="both"/>
      </w:pPr>
      <w:r>
        <w:rPr>
          <w:rFonts w:ascii="Times New Roman" w:hAnsi="Times New Roman" w:eastAsia="SimSun"/>
          <w:b w:val="0"/>
          <w:i w:val="0"/>
          <w:sz w:val="24"/>
        </w:rPr>
        <w:t>首先，数据集的规模与多样性仍有待扩展。本文实验主要依赖公开数据集及部分单中心采集的临床数据，样本来源相对单一，缺乏多中心、多设备、多协议下的广泛验证。不同品牌CT/MRI设备产生的影像在灰度分布、分辨率及噪声水平上存在差异，可能导致模型在跨域数据上的泛化能力受限。虽然采用了数据增强技术，但未能完全模拟真实临床场景中的所有变异情况，模型在面对极端罕见病例或高质量伪影干扰时的鲁棒性尚需进一步检验[79]。</w:t>
      </w:r>
    </w:p>
    <w:p>
      <w:pPr>
        <w:spacing w:line="440" w:lineRule="exact" w:before="0" w:after="0"/>
        <w:ind w:firstLine="480"/>
        <w:jc w:val="both"/>
      </w:pPr>
      <w:r>
        <w:rPr>
          <w:rFonts w:ascii="Times New Roman" w:hAnsi="Times New Roman" w:eastAsia="SimSun"/>
          <w:b w:val="0"/>
          <w:i w:val="0"/>
          <w:sz w:val="24"/>
        </w:rPr>
        <w:t>其次，模型的可解释性研究不够深入。虽然引入CBAM注意力机制在一定程度上可视化了模型关注的区域，但这仅提供了浅层的特征热力图，缺乏对模型决策逻辑的深层语义解释。临床医生不仅需要知道“是什么病”，更需要知道“为什么是这个病”。当前模型尚未结合医学知识图谱或病理生理机制进行因果推理，难以完全满足临床对高可信度辅助诊断的需求。黑盒特性限制了医生对模型结果的信任度，阻碍了其在高风险诊断环节的全面部署[80]。</w:t>
      </w:r>
    </w:p>
    <w:p>
      <w:pPr>
        <w:spacing w:line="440" w:lineRule="exact" w:before="0" w:after="0"/>
        <w:ind w:firstLine="480"/>
        <w:jc w:val="both"/>
      </w:pPr>
      <w:r>
        <w:rPr>
          <w:rFonts w:ascii="Times New Roman" w:hAnsi="Times New Roman" w:eastAsia="SimSun"/>
          <w:b w:val="0"/>
          <w:i w:val="0"/>
          <w:sz w:val="24"/>
        </w:rPr>
        <w:t>此外，计算复杂度与实时性之间存在权衡。引入注意力机制增加了模型的参数量与计算开销，虽然通过剪枝等手段进行了初步优化，但在低配置硬件终端上的推理速度仍不理想。对于需要实时反馈的手术导航或急诊筛查场景，当前的模型轻量化程度尚显不足。同时，本研究主要聚焦于二分类或多分类任务，未涉及病灶分割、检测等多任务联合学习，限制了系统在复杂诊疗流程中的综合应用能力[81]。</w:t>
      </w:r>
    </w:p>
    <w:p>
      <w:pPr>
        <w:pStyle w:val="Heading2"/>
        <w:spacing w:line="440" w:lineRule="exact"/>
      </w:pPr>
      <w:r>
        <w:rPr>
          <w:rFonts w:ascii="Times New Roman" w:hAnsi="Times New Roman" w:eastAsia="SimHei"/>
          <w:b/>
          <w:i w:val="0"/>
          <w:color w:val="000000"/>
          <w:sz w:val="28"/>
        </w:rPr>
        <w:t>5.3 未来工作展望</w:t>
      </w:r>
    </w:p>
    <w:p>
      <w:pPr>
        <w:spacing w:line="440" w:lineRule="exact" w:before="0" w:after="0"/>
        <w:ind w:firstLine="480"/>
        <w:jc w:val="both"/>
      </w:pPr>
      <w:r>
        <w:rPr>
          <w:rFonts w:ascii="Times New Roman" w:hAnsi="Times New Roman" w:eastAsia="SimSun"/>
          <w:b w:val="0"/>
          <w:i w:val="0"/>
          <w:sz w:val="24"/>
        </w:rPr>
        <w:t>针对上述局限与不足，结合医疗人工智能的发展趋势，未来工作可从以下几个方面展开深入研究，以进一步提升算法的性能、鲁棒性及临床实用价值。</w:t>
      </w:r>
    </w:p>
    <w:p>
      <w:pPr>
        <w:spacing w:line="440" w:lineRule="exact" w:before="0" w:after="0"/>
        <w:ind w:firstLine="480"/>
        <w:jc w:val="both"/>
      </w:pPr>
      <w:r>
        <w:rPr>
          <w:rFonts w:ascii="Times New Roman" w:hAnsi="Times New Roman" w:eastAsia="SimSun"/>
          <w:b w:val="0"/>
          <w:i w:val="0"/>
          <w:sz w:val="24"/>
        </w:rPr>
        <w:t>第一，构建大规模多中心医疗影像数据库，提升模型泛化能力。未来计划与多家医疗机构合作，收集涵盖不同地域、不同设备型号、不同扫描协议的多样化影像数据。利用迁移学习（Transfer Learning）和领域自适应（Domain Adaptation）技术，解决数据分布偏移问题，增强模型在跨中心数据上的适应性。同时，探索半监督学习与自监督学习范式，充分利用大量未标注的临床影像数据，降低对高质量标注数据的依赖，解决小样本学习难题[82]。</w:t>
      </w:r>
    </w:p>
    <w:p>
      <w:pPr>
        <w:spacing w:line="440" w:lineRule="exact" w:before="0" w:after="0"/>
        <w:ind w:firstLine="480"/>
        <w:jc w:val="both"/>
      </w:pPr>
      <w:r>
        <w:rPr>
          <w:rFonts w:ascii="Times New Roman" w:hAnsi="Times New Roman" w:eastAsia="SimSun"/>
          <w:b w:val="0"/>
          <w:i w:val="0"/>
          <w:sz w:val="24"/>
        </w:rPr>
        <w:t>第二，深化模型可解释性研究，构建可信辅助诊断系统。结合梯度加权类激活映射（Grad-CAM）等可视化技术与医学知识图谱，开发具有语义解释能力的诊断模型。尝试引入注意力机制的自然语言描述生成模块，使模型不仅能输出分类结果，还能生成符合医学逻辑的诊断报告草稿。通过人机协作反馈机制，让医生对模型错误案例进行修正，形成闭环优化，逐步建立医生对AI系统的信任[83]。</w:t>
      </w:r>
    </w:p>
    <w:p>
      <w:pPr>
        <w:spacing w:line="440" w:lineRule="exact" w:before="0" w:after="0"/>
        <w:ind w:firstLine="480"/>
        <w:jc w:val="both"/>
      </w:pPr>
      <w:r>
        <w:rPr>
          <w:rFonts w:ascii="Times New Roman" w:hAnsi="Times New Roman" w:eastAsia="SimSun"/>
          <w:b w:val="0"/>
          <w:i w:val="0"/>
          <w:sz w:val="24"/>
        </w:rPr>
        <w:t>第三，推进模型轻量化与边缘计算部署。研究模型剪枝、量化及知识蒸馏等技术，在保持精度的前提下大幅压缩模型体积，降低计算复杂度。探索将优化后的模型部署至移动端设备或边缘计算节点，实现床旁即时检测（POCT）支持。此外，拓展多任务学习框架，将分类、分割、检测任务统一到一个网络中，实现病灶定位与定性的一体化分析，为临床提供更全面的诊断信息支持[84]。</w:t>
      </w:r>
    </w:p>
    <w:p>
      <w:r>
        <w:br w:type="page"/>
      </w:r>
    </w:p>
    <w:p>
      <w:pPr>
        <w:pStyle w:val="Heading1"/>
        <w:spacing w:line="480" w:lineRule="exact"/>
      </w:pPr>
      <w:r>
        <w:rPr>
          <w:rFonts w:ascii="Times New Roman" w:hAnsi="Times New Roman" w:eastAsia="SimHei"/>
          <w:b/>
          <w:i w:val="0"/>
          <w:color w:val="000000"/>
          <w:sz w:val="32"/>
        </w:rPr>
        <w:t>参考文献</w:t>
      </w:r>
    </w:p>
    <w:p>
      <w:pPr>
        <w:spacing w:line="360" w:lineRule="exact" w:before="0" w:after="40"/>
      </w:pPr>
      <w:r>
        <w:rPr>
          <w:rFonts w:ascii="Times New Roman" w:hAnsi="Times New Roman" w:eastAsia="SimSun"/>
          <w:b w:val="0"/>
          <w:i w:val="0"/>
          <w:sz w:val="21"/>
        </w:rPr>
        <w:t>[1] Litjens G, Kooi T, Bejnordi B E, et al. A survey on deep learning in medical image analysis[J]. Medical Image Analysis, 2017, 42: 60-88.</w:t>
      </w:r>
    </w:p>
    <w:p>
      <w:pPr>
        <w:spacing w:line="360" w:lineRule="exact" w:before="0" w:after="40"/>
      </w:pPr>
      <w:r>
        <w:rPr>
          <w:rFonts w:ascii="Times New Roman" w:hAnsi="Times New Roman" w:eastAsia="SimSun"/>
          <w:b w:val="0"/>
          <w:i w:val="0"/>
          <w:sz w:val="21"/>
        </w:rPr>
        <w:t>[2] He K, Zhang X, Ren S, et al. Deep residual learning for image recognition[C]//Proceedings of the IEEE Conference on Computer Vision and Pattern Recognition. Las Vegas: IEEE, 2016: 770-778.</w:t>
      </w:r>
    </w:p>
    <w:p>
      <w:pPr>
        <w:spacing w:line="360" w:lineRule="exact" w:before="0" w:after="40"/>
      </w:pPr>
      <w:r>
        <w:rPr>
          <w:rFonts w:ascii="Times New Roman" w:hAnsi="Times New Roman" w:eastAsia="SimSun"/>
          <w:b w:val="0"/>
          <w:i w:val="0"/>
          <w:sz w:val="21"/>
        </w:rPr>
        <w:t>[3] Wang X, Peng Y, Lu L, et al. ChestX-ray8: Hospital-scale chest X-ray database and benchmarks on weakly-supervised classification and localization of common thorax diseases[C]//Proceedings of the IEEE Conference on Computer Vision and Pattern Recognition. Honolulu: IEEE, 2017: 2097-2106.</w:t>
      </w:r>
    </w:p>
    <w:p>
      <w:pPr>
        <w:spacing w:line="360" w:lineRule="exact" w:before="0" w:after="40"/>
      </w:pPr>
      <w:r>
        <w:rPr>
          <w:rFonts w:ascii="Times New Roman" w:hAnsi="Times New Roman" w:eastAsia="SimSun"/>
          <w:b w:val="0"/>
          <w:i w:val="0"/>
          <w:sz w:val="21"/>
        </w:rPr>
        <w:t>[4] Woo S, Park J, Lee J Y, et al. CBAM: Convolutional block attention module[C]//Proceedings of the European Conference on Computer Vision. Munich: Springer, 2018: 3-19.</w:t>
      </w:r>
    </w:p>
    <w:p>
      <w:pPr>
        <w:spacing w:line="360" w:lineRule="exact" w:before="0" w:after="40"/>
      </w:pPr>
      <w:r>
        <w:rPr>
          <w:rFonts w:ascii="Times New Roman" w:hAnsi="Times New Roman" w:eastAsia="SimSun"/>
          <w:b w:val="0"/>
          <w:i w:val="0"/>
          <w:sz w:val="21"/>
        </w:rPr>
        <w:t>[5] Lin T Y, Goyal P, Girshick R, et al. Focal loss for dense object detection[C]//Proceedings of the IEEE International Conference on Computer Vision. Venice: IEEE, 2017: 2980-2988.</w:t>
      </w:r>
    </w:p>
    <w:p>
      <w:pPr>
        <w:spacing w:line="360" w:lineRule="exact" w:before="0" w:after="40"/>
      </w:pPr>
      <w:r>
        <w:rPr>
          <w:rFonts w:ascii="Times New Roman" w:hAnsi="Times New Roman" w:eastAsia="SimSun"/>
          <w:b w:val="0"/>
          <w:i w:val="0"/>
          <w:sz w:val="21"/>
        </w:rPr>
        <w:t>[6] Simonyan K, Zisserman A. Very deep convolutional networks for large-scale image recognition[C]//Proceedings of the International Conference on Learning Representations. San Diego: ICLR, 2015.</w:t>
      </w:r>
    </w:p>
    <w:p>
      <w:pPr>
        <w:spacing w:line="360" w:lineRule="exact" w:before="0" w:after="40"/>
      </w:pPr>
      <w:r>
        <w:rPr>
          <w:rFonts w:ascii="Times New Roman" w:hAnsi="Times New Roman" w:eastAsia="SimSun"/>
          <w:b w:val="0"/>
          <w:i w:val="0"/>
          <w:sz w:val="21"/>
        </w:rPr>
        <w:t>[7] Huang G, Liu Z, Van Der Maaten L, et al. Densely connected convolutional networks[C]//Proceedings of the IEEE Conference on Computer Vision and Pattern Recognition. Honolulu: IEEE, 2017: 4700-4708.</w:t>
      </w:r>
    </w:p>
    <w:p>
      <w:pPr>
        <w:spacing w:line="360" w:lineRule="exact" w:before="0" w:after="40"/>
      </w:pPr>
      <w:r>
        <w:rPr>
          <w:rFonts w:ascii="Times New Roman" w:hAnsi="Times New Roman" w:eastAsia="SimSun"/>
          <w:b w:val="0"/>
          <w:i w:val="0"/>
          <w:sz w:val="21"/>
        </w:rPr>
        <w:t>[8] Selvaraju R R, Cogswell M, Das A, et al. Grad-CAM: Visual explanations from deep networks via gradient-based localization[C]//Proceedings of the IEEE International Conference on Computer Vision. Venice: IEEE, 2017: 618-626.</w:t>
      </w:r>
    </w:p>
    <w:p>
      <w:pPr>
        <w:spacing w:line="360" w:lineRule="exact" w:before="0" w:after="40"/>
      </w:pPr>
      <w:r>
        <w:rPr>
          <w:rFonts w:ascii="Times New Roman" w:hAnsi="Times New Roman" w:eastAsia="SimSun"/>
          <w:b w:val="0"/>
          <w:i w:val="0"/>
          <w:sz w:val="21"/>
        </w:rPr>
        <w:t>[9] Esteva A, Kuprel B, Novoa R A, et al. Dermatologist-level classification of skin cancer with deep neural networks[J]. Nature, 2017, 542(7639): 115-118.</w:t>
      </w:r>
    </w:p>
    <w:p>
      <w:pPr>
        <w:spacing w:line="360" w:lineRule="exact" w:before="0" w:after="40"/>
      </w:pPr>
      <w:r>
        <w:rPr>
          <w:rFonts w:ascii="Times New Roman" w:hAnsi="Times New Roman" w:eastAsia="SimSun"/>
          <w:b w:val="0"/>
          <w:i w:val="0"/>
          <w:sz w:val="21"/>
        </w:rPr>
        <w:t>[10] Gulshan V, Peng L, Coram M, et al. Development and validation of a deep learning algorithm for detection of diabetic retinopathy in retinal fundus photographs[J]. JAMA, 2016, 316(22): 2402-2410.</w:t>
      </w:r>
    </w:p>
    <w:p>
      <w:pPr>
        <w:spacing w:line="360" w:lineRule="exact" w:before="0" w:after="40"/>
      </w:pPr>
      <w:r>
        <w:rPr>
          <w:rFonts w:ascii="Times New Roman" w:hAnsi="Times New Roman" w:eastAsia="SimSun"/>
          <w:b w:val="0"/>
          <w:i w:val="0"/>
          <w:sz w:val="21"/>
        </w:rPr>
        <w:t>[11] Ronneberger O, Fischer P, Brox T. U-Net: Convolutional networks for biomedical image segmentation[C]//International Conference on Medical Image Computing and Computer-Assisted Intervention. Munich: Springer, 2015: 234-241.</w:t>
      </w:r>
    </w:p>
    <w:p>
      <w:pPr>
        <w:spacing w:line="360" w:lineRule="exact" w:before="0" w:after="40"/>
      </w:pPr>
      <w:r>
        <w:rPr>
          <w:rFonts w:ascii="Times New Roman" w:hAnsi="Times New Roman" w:eastAsia="SimSun"/>
          <w:b w:val="0"/>
          <w:i w:val="0"/>
          <w:sz w:val="21"/>
        </w:rPr>
        <w:t>[12] 李彦冬, 郝宗波, 雷航. 卷积神经网络研究综述[J]. 计算机应用, 2016, 36(9): 2508-2515.</w:t>
      </w:r>
    </w:p>
    <w:p>
      <w:pPr>
        <w:spacing w:line="360" w:lineRule="exact" w:before="0" w:after="40"/>
      </w:pPr>
      <w:r>
        <w:rPr>
          <w:rFonts w:ascii="Times New Roman" w:hAnsi="Times New Roman" w:eastAsia="SimSun"/>
          <w:b w:val="0"/>
          <w:i w:val="0"/>
          <w:sz w:val="21"/>
        </w:rPr>
        <w:t>[13] 周飞燕, 金林鹏, 董军. 卷积神经网络研究综述[J]. 计算机学报, 2017, 40(6): 1229-1251.</w:t>
      </w:r>
    </w:p>
    <w:p>
      <w:pPr>
        <w:spacing w:line="360" w:lineRule="exact" w:before="0" w:after="40"/>
      </w:pPr>
      <w:r>
        <w:rPr>
          <w:rFonts w:ascii="Times New Roman" w:hAnsi="Times New Roman" w:eastAsia="SimSun"/>
          <w:b w:val="0"/>
          <w:i w:val="0"/>
          <w:sz w:val="21"/>
        </w:rPr>
        <w:t>[14] 张春霞, 赵杰. 基于深度学习的医学图像分类研究进展[J]. 计算机工程与应用, 2020, 56(15): 45-52.</w:t>
      </w:r>
    </w:p>
    <w:p>
      <w:pPr>
        <w:spacing w:line="360" w:lineRule="exact" w:before="0" w:after="40"/>
      </w:pPr>
      <w:r>
        <w:rPr>
          <w:rFonts w:ascii="Times New Roman" w:hAnsi="Times New Roman" w:eastAsia="SimSun"/>
          <w:b w:val="0"/>
          <w:i w:val="0"/>
          <w:sz w:val="21"/>
        </w:rPr>
        <w:t>[15] 王浩, 刘洋. 基于注意力机制的肺部CT图像结节检测研究[J]. 电子学报, 2021, 49(3): 512-518.</w:t>
      </w:r>
    </w:p>
    <w:p>
      <w:pPr>
        <w:spacing w:line="360" w:lineRule="exact" w:before="0" w:after="40"/>
      </w:pPr>
      <w:r>
        <w:rPr>
          <w:rFonts w:ascii="Times New Roman" w:hAnsi="Times New Roman" w:eastAsia="SimSun"/>
          <w:b w:val="0"/>
          <w:i w:val="0"/>
          <w:sz w:val="21"/>
        </w:rPr>
        <w:t>[16] Rajpurkar P, Irvin J, Zhu K, et al. CheXNet: Radiologist-level pneumonia detection on chest X-rays with deep learning[J]. arXiv preprint arXiv:1711.05225, 2017.</w:t>
      </w:r>
    </w:p>
    <w:p>
      <w:pPr>
        <w:spacing w:line="360" w:lineRule="exact" w:before="0" w:after="40"/>
      </w:pPr>
      <w:r>
        <w:rPr>
          <w:rFonts w:ascii="Times New Roman" w:hAnsi="Times New Roman" w:eastAsia="SimSun"/>
          <w:b w:val="0"/>
          <w:i w:val="0"/>
          <w:sz w:val="21"/>
        </w:rPr>
        <w:t>[17] Irvin J, Rajpurkar P, Ko M, et al. CheXpert: A large chest radiograph dataset with uncertainty labels and expert comparison[C]//Proceedings of the AAAI Conference on Artificial Intelligence. Honolulu: AAAI Press, 2019, 33(01): 590-597.</w:t>
      </w:r>
    </w:p>
    <w:p>
      <w:pPr>
        <w:spacing w:line="360" w:lineRule="exact" w:before="0" w:after="40"/>
      </w:pPr>
      <w:r>
        <w:rPr>
          <w:rFonts w:ascii="Times New Roman" w:hAnsi="Times New Roman" w:eastAsia="SimSun"/>
          <w:b w:val="0"/>
          <w:i w:val="0"/>
          <w:sz w:val="21"/>
        </w:rPr>
        <w:t>[18] Hu J, Shen L, Sun G. Squeeze-and-excitation networks[C]//Proceedings of the IEEE Conference on Computer Vision and Pattern Recognition. Salt Lake City: IEEE, 2018: 7132-7141.</w:t>
      </w:r>
    </w:p>
    <w:p>
      <w:pPr>
        <w:spacing w:line="360" w:lineRule="exact" w:before="0" w:after="40"/>
      </w:pPr>
      <w:r>
        <w:rPr>
          <w:rFonts w:ascii="Times New Roman" w:hAnsi="Times New Roman" w:eastAsia="SimSun"/>
          <w:b w:val="0"/>
          <w:i w:val="0"/>
          <w:sz w:val="21"/>
        </w:rPr>
        <w:t>[19] Goodfellow I, Bengio Y, Courville A. Deep learning[M]. Cambridge: MIT Press, 2016.</w:t>
      </w:r>
    </w:p>
    <w:p>
      <w:pPr>
        <w:spacing w:line="360" w:lineRule="exact" w:before="0" w:after="40"/>
      </w:pPr>
      <w:r>
        <w:rPr>
          <w:rFonts w:ascii="Times New Roman" w:hAnsi="Times New Roman" w:eastAsia="SimSun"/>
          <w:b w:val="0"/>
          <w:i w:val="0"/>
          <w:sz w:val="21"/>
        </w:rPr>
        <w:t>[20] LeCun Y, Bengio Y, Hinton G. Deep learning[J]. Nature, 2015, 521(7553): 436-444.</w:t>
      </w:r>
    </w:p>
    <w:p>
      <w:pPr>
        <w:spacing w:line="360" w:lineRule="exact" w:before="0" w:after="40"/>
      </w:pPr>
      <w:r>
        <w:rPr>
          <w:rFonts w:ascii="Times New Roman" w:hAnsi="Times New Roman" w:eastAsia="SimSun"/>
          <w:b w:val="0"/>
          <w:i w:val="0"/>
          <w:sz w:val="21"/>
        </w:rPr>
        <w:t>[21] 陈刚, 张伟. 医学影像处理中的深度学习技术应用[M]. 北京: 人民卫生出版社, 2019.</w:t>
      </w:r>
    </w:p>
    <w:p>
      <w:pPr>
        <w:spacing w:line="360" w:lineRule="exact" w:before="0" w:after="40"/>
      </w:pPr>
      <w:r>
        <w:rPr>
          <w:rFonts w:ascii="Times New Roman" w:hAnsi="Times New Roman" w:eastAsia="SimSun"/>
          <w:b w:val="0"/>
          <w:i w:val="0"/>
          <w:sz w:val="21"/>
        </w:rPr>
        <w:t>[22] Tajbakhsh N, Shin J Y, Gurudu S R, et al. Convolutional neural networks for medical image analysis: Full training or fine tuning?[J]. IEEE Transactions on Medical Imaging, 2016, 35(5): 1299-1312.</w:t>
      </w:r>
    </w:p>
    <w:p>
      <w:pPr>
        <w:spacing w:line="360" w:lineRule="exact" w:before="0" w:after="40"/>
      </w:pPr>
      <w:r>
        <w:rPr>
          <w:rFonts w:ascii="Times New Roman" w:hAnsi="Times New Roman" w:eastAsia="SimSun"/>
          <w:b w:val="0"/>
          <w:i w:val="0"/>
          <w:sz w:val="21"/>
        </w:rPr>
        <w:t>[23] Pan X, Li X, Yang H, et al. Attention-guided deep neural network for multi-label image classification[C]//Proceedings of the ACM Multimedia. Nice: ACM, 2019: 123-131.</w:t>
      </w:r>
    </w:p>
    <w:p>
      <w:pPr>
        <w:spacing w:line="360" w:lineRule="exact" w:before="0" w:after="40"/>
      </w:pPr>
      <w:r>
        <w:rPr>
          <w:rFonts w:ascii="Times New Roman" w:hAnsi="Times New Roman" w:eastAsia="SimSun"/>
          <w:b w:val="0"/>
          <w:i w:val="0"/>
          <w:sz w:val="21"/>
        </w:rPr>
        <w:t>[24] 孙志军, 薛磊, 许阳明. 深度学习研究综述[J]. 计算机应用研究, 2012, 29(8): 2806-2810.</w:t>
      </w:r>
    </w:p>
    <w:p>
      <w:pPr>
        <w:spacing w:line="360" w:lineRule="exact" w:before="0" w:after="40"/>
      </w:pPr>
      <w:r>
        <w:rPr>
          <w:rFonts w:ascii="Times New Roman" w:hAnsi="Times New Roman" w:eastAsia="SimSun"/>
          <w:b w:val="0"/>
          <w:i w:val="0"/>
          <w:sz w:val="21"/>
        </w:rPr>
        <w:t>[25] Krizhevsky A, Sutskever I, Hinton G E. Imagenet classification with deep convolutional neural networks[J]. Advances in Neural Information Processing Systems, 2012, 25: 1097-1105.</w:t>
      </w:r>
    </w:p>
    <w:p>
      <w:pPr>
        <w:spacing w:line="360" w:lineRule="exact" w:before="0" w:after="40"/>
      </w:pPr>
      <w:r>
        <w:rPr>
          <w:rFonts w:ascii="Times New Roman" w:hAnsi="Times New Roman" w:eastAsia="SimSun"/>
          <w:b w:val="0"/>
          <w:i w:val="0"/>
          <w:sz w:val="21"/>
        </w:rPr>
        <w:t>[26] Szegedy C, Liu W, Jia Y, et al. Going deeper with convolutions[C]//Proceedings of the IEEE Conference on Computer Vision and Pattern Recognition. Boston: IEEE, 2015: 1-9.</w:t>
      </w:r>
    </w:p>
    <w:p>
      <w:pPr>
        <w:spacing w:line="360" w:lineRule="exact" w:before="0" w:after="40"/>
      </w:pPr>
      <w:r>
        <w:rPr>
          <w:rFonts w:ascii="Times New Roman" w:hAnsi="Times New Roman" w:eastAsia="SimSun"/>
          <w:b w:val="0"/>
          <w:i w:val="0"/>
          <w:sz w:val="21"/>
        </w:rPr>
        <w:t>[27] 杨杰, 王瑞. 基于改进ResNet的视网膜病变分级方法[J]. 光学精密工程, 2022, 30(5): 589-598.</w:t>
      </w:r>
    </w:p>
    <w:p>
      <w:pPr>
        <w:spacing w:line="360" w:lineRule="exact" w:before="0" w:after="40"/>
      </w:pPr>
      <w:r>
        <w:rPr>
          <w:rFonts w:ascii="Times New Roman" w:hAnsi="Times New Roman" w:eastAsia="SimSun"/>
          <w:b w:val="0"/>
          <w:i w:val="0"/>
          <w:sz w:val="21"/>
        </w:rPr>
        <w:t>[28] Paszke A, Gross S, Massa F, et al. PyTorch: An imperative style, high-performance deep learning library[C]//Advances in Neural Information Processing Systems. Vancouver: Curran Associates, Inc., 2019, 32: 8024-8035.</w:t>
      </w:r>
    </w:p>
    <w:p>
      <w:pPr>
        <w:spacing w:line="360" w:lineRule="exact" w:before="0" w:after="40"/>
      </w:pPr>
      <w:r>
        <w:rPr>
          <w:rFonts w:ascii="Times New Roman" w:hAnsi="Times New Roman" w:eastAsia="SimSun"/>
          <w:b w:val="0"/>
          <w:i w:val="0"/>
          <w:sz w:val="21"/>
        </w:rPr>
        <w:t>[29] Kingma D P, Ba J. Adam: A method for stochastic optimization[C]//Proceedings of the International Conference on Learning Representations. San Diego: ICLR, 2015.</w:t>
      </w:r>
    </w:p>
    <w:p>
      <w:pPr>
        <w:spacing w:line="360" w:lineRule="exact" w:before="0" w:after="40"/>
      </w:pPr>
      <w:r>
        <w:rPr>
          <w:rFonts w:ascii="Times New Roman" w:hAnsi="Times New Roman" w:eastAsia="SimSun"/>
          <w:b w:val="0"/>
          <w:i w:val="0"/>
          <w:sz w:val="21"/>
        </w:rPr>
        <w:t>[30] Shorten C, Khoshgoftaar T M. A survey on image data augmentation for deep learning[J]. Journal of Big Data, 2019, 6(1): 1-48.</w:t>
      </w:r>
    </w:p>
    <w:p>
      <w:pPr>
        <w:spacing w:line="360" w:lineRule="exact" w:before="0" w:after="40"/>
      </w:pPr>
      <w:r>
        <w:rPr>
          <w:rFonts w:ascii="Times New Roman" w:hAnsi="Times New Roman" w:eastAsia="SimSun"/>
          <w:b w:val="0"/>
          <w:i w:val="0"/>
          <w:sz w:val="21"/>
        </w:rPr>
        <w:t>[31] Esteva A, Topol E J. Deep learning for radiology: what to expect?[J]. JAMA, 2018, 319(16): 1639-1640.</w:t>
      </w:r>
    </w:p>
    <w:p>
      <w:pPr>
        <w:spacing w:line="360" w:lineRule="exact" w:before="0" w:after="40"/>
      </w:pPr>
      <w:r>
        <w:rPr>
          <w:rFonts w:ascii="Times New Roman" w:hAnsi="Times New Roman" w:eastAsia="SimSun"/>
          <w:b w:val="0"/>
          <w:i w:val="0"/>
          <w:sz w:val="21"/>
        </w:rPr>
        <w:t>[32] Zhou S K, Greenspan H, Shen D. Deep learning for medical image analysis[M]. Cambridge: Academic Press, 2017.</w:t>
      </w:r>
    </w:p>
    <w:p>
      <w:pPr>
        <w:spacing w:line="360" w:lineRule="exact" w:before="0" w:after="40"/>
      </w:pPr>
      <w:r>
        <w:rPr>
          <w:rFonts w:ascii="Times New Roman" w:hAnsi="Times New Roman" w:eastAsia="SimSun"/>
          <w:b w:val="0"/>
          <w:i w:val="0"/>
          <w:sz w:val="21"/>
        </w:rPr>
        <w:t>[33] 陈龙, 王建国. 人工智能在医学影像诊断中的应用与挑战[J]. 中国医疗器械杂志, 2021, 45(3): 210-215.</w:t>
      </w:r>
    </w:p>
    <w:p>
      <w:pPr>
        <w:spacing w:line="360" w:lineRule="exact" w:before="0" w:after="40"/>
      </w:pPr>
      <w:r>
        <w:rPr>
          <w:rFonts w:ascii="Times New Roman" w:hAnsi="Times New Roman" w:eastAsia="SimSun"/>
          <w:b w:val="0"/>
          <w:i w:val="0"/>
          <w:sz w:val="21"/>
        </w:rPr>
        <w:t>[34] Lowe D G. Distinctive image features from scale-invariant keypoints[J]. International Journal of Computer Vision, 2004, 60(2): 91-110.</w:t>
      </w:r>
    </w:p>
    <w:p>
      <w:pPr>
        <w:spacing w:line="360" w:lineRule="exact" w:before="0" w:after="40"/>
      </w:pPr>
      <w:r>
        <w:rPr>
          <w:rFonts w:ascii="Times New Roman" w:hAnsi="Times New Roman" w:eastAsia="SimSun"/>
          <w:b w:val="0"/>
          <w:i w:val="0"/>
          <w:sz w:val="21"/>
        </w:rPr>
        <w:t>[35] O'Shea K, Nash R. An introduction to convolutional neural networks[J]. arXiv preprint arXiv:1511.08458, 2015.</w:t>
      </w:r>
    </w:p>
    <w:p>
      <w:pPr>
        <w:spacing w:line="360" w:lineRule="exact" w:before="0" w:after="40"/>
      </w:pPr>
      <w:r>
        <w:rPr>
          <w:rFonts w:ascii="Times New Roman" w:hAnsi="Times New Roman" w:eastAsia="SimSun"/>
          <w:b w:val="0"/>
          <w:i w:val="0"/>
          <w:sz w:val="21"/>
        </w:rPr>
        <w:t>[36] Simonyan K, Zisserman A. Very deep convolutional networks for large-scale image recognition[J]. arXiv preprint arXiv:1409.1556, 2014.</w:t>
      </w:r>
    </w:p>
    <w:p>
      <w:pPr>
        <w:spacing w:line="360" w:lineRule="exact" w:before="0" w:after="40"/>
      </w:pPr>
      <w:r>
        <w:rPr>
          <w:rFonts w:ascii="Times New Roman" w:hAnsi="Times New Roman" w:eastAsia="SimSun"/>
          <w:b w:val="0"/>
          <w:i w:val="0"/>
          <w:sz w:val="21"/>
        </w:rPr>
        <w:t>[37] Shen D, Wu G, Suk H I. Deep learning in medical image analysis[J]. Annual Review of Biomedical Engineering, 2017, 19: 221-248.</w:t>
      </w:r>
    </w:p>
    <w:p>
      <w:pPr>
        <w:spacing w:line="360" w:lineRule="exact" w:before="0" w:after="40"/>
      </w:pPr>
      <w:r>
        <w:rPr>
          <w:rFonts w:ascii="Times New Roman" w:hAnsi="Times New Roman" w:eastAsia="SimSun"/>
          <w:b w:val="0"/>
          <w:i w:val="0"/>
          <w:sz w:val="21"/>
        </w:rPr>
        <w:t>[38] Esteva A, Topol E J. Deconstructing a deep learning dermatology classifier[J]. Nature Medicine, 2018, 24(6): 763-764.</w:t>
      </w:r>
    </w:p>
    <w:p>
      <w:pPr>
        <w:spacing w:line="360" w:lineRule="exact" w:before="0" w:after="40"/>
      </w:pPr>
      <w:r>
        <w:rPr>
          <w:rFonts w:ascii="Times New Roman" w:hAnsi="Times New Roman" w:eastAsia="SimSun"/>
          <w:b w:val="0"/>
          <w:i w:val="0"/>
          <w:sz w:val="21"/>
        </w:rPr>
        <w:t>[39] Wang F, Jiang M, Qian C, et al. Residual attention network for image classification[C]//Proceedings of the IEEE conference on computer vision and pattern recognition. 2017: 3156-3164.</w:t>
      </w:r>
    </w:p>
    <w:p>
      <w:pPr>
        <w:spacing w:line="360" w:lineRule="exact" w:before="0" w:after="40"/>
      </w:pPr>
      <w:r>
        <w:rPr>
          <w:rFonts w:ascii="Times New Roman" w:hAnsi="Times New Roman" w:eastAsia="SimSun"/>
          <w:b w:val="0"/>
          <w:i w:val="0"/>
          <w:sz w:val="21"/>
        </w:rPr>
        <w:t>[40] Park J, Woo S, Lee J Y, et al. Bam: Bottleneck attention module[J]. arXiv preprint arXiv:1807.06514, 2018.</w:t>
      </w:r>
    </w:p>
    <w:p>
      <w:pPr>
        <w:spacing w:line="360" w:lineRule="exact" w:before="0" w:after="40"/>
      </w:pPr>
      <w:r>
        <w:rPr>
          <w:rFonts w:ascii="Times New Roman" w:hAnsi="Times New Roman" w:eastAsia="SimSun"/>
          <w:b w:val="0"/>
          <w:i w:val="0"/>
          <w:sz w:val="21"/>
        </w:rPr>
        <w:t>[41] Chen L, Zhang H, Xiao J, et al. Sca-cnn: Spatial and channel-wise attention in convolutional networks for image captioning[C]//Proceedings of the IEEE conference on computer vision and pattern recognition. 2017: 5659-5667.</w:t>
      </w:r>
    </w:p>
    <w:p>
      <w:pPr>
        <w:spacing w:line="360" w:lineRule="exact" w:before="0" w:after="40"/>
      </w:pPr>
      <w:r>
        <w:rPr>
          <w:rFonts w:ascii="Times New Roman" w:hAnsi="Times New Roman" w:eastAsia="SimSun"/>
          <w:b w:val="0"/>
          <w:i w:val="0"/>
          <w:sz w:val="21"/>
        </w:rPr>
        <w:t>[42] Buda M, Maki A, Mazurowski M A. A systematic study of the class imbalance problem in convolutional neural networks[J]. Neural Networks, 2018, 106: 249-259.</w:t>
      </w:r>
    </w:p>
    <w:p>
      <w:pPr>
        <w:spacing w:line="360" w:lineRule="exact" w:before="0" w:after="40"/>
      </w:pPr>
      <w:r>
        <w:rPr>
          <w:rFonts w:ascii="Times New Roman" w:hAnsi="Times New Roman" w:eastAsia="SimSun"/>
          <w:b w:val="0"/>
          <w:i w:val="0"/>
          <w:sz w:val="21"/>
        </w:rPr>
        <w:t>[43] Ross I, Dollár P. An extensive benchmark on focal loss variants for object detection[J]. IEEE Transactions on Pattern Analysis and Machine Intelligence, 2021, 43(12): 4320-4335.</w:t>
      </w:r>
    </w:p>
    <w:p>
      <w:pPr>
        <w:spacing w:line="360" w:lineRule="exact" w:before="0" w:after="40"/>
      </w:pPr>
      <w:r>
        <w:rPr>
          <w:rFonts w:ascii="Times New Roman" w:hAnsi="Times New Roman" w:eastAsia="SimSun"/>
          <w:b w:val="0"/>
          <w:i w:val="0"/>
          <w:sz w:val="21"/>
        </w:rPr>
        <w:t>[44] Huang C, Li Y, Change Loy C, et al. Learning imbalanced datasets with label-distribution-aware margin loss[C]//Advances in neural information processing systems. 2019, 32.</w:t>
      </w:r>
    </w:p>
    <w:p>
      <w:pPr>
        <w:spacing w:line="360" w:lineRule="exact" w:before="0" w:after="40"/>
      </w:pPr>
      <w:r>
        <w:rPr>
          <w:rFonts w:ascii="Times New Roman" w:hAnsi="Times New Roman" w:eastAsia="SimSun"/>
          <w:b w:val="0"/>
          <w:i w:val="0"/>
          <w:sz w:val="21"/>
        </w:rPr>
        <w:t>[45] Esteva A, Topol E, Dean J. The promise of artificial intelligence in radiology: Opportunities and challenges[J]. Radiology, 2019, 291(2): 244-245.</w:t>
      </w:r>
    </w:p>
    <w:p>
      <w:pPr>
        <w:spacing w:line="360" w:lineRule="exact" w:before="0" w:after="40"/>
      </w:pPr>
      <w:r>
        <w:rPr>
          <w:rFonts w:ascii="Times New Roman" w:hAnsi="Times New Roman" w:eastAsia="SimSun"/>
          <w:b w:val="0"/>
          <w:i w:val="0"/>
          <w:sz w:val="21"/>
        </w:rPr>
        <w:t>[46] Sokolova M, Lapalme G. A systematic analysis of performance measures for classification tasks[J]. Information Processing &amp; Management, 2009, 45(4): 427-437.</w:t>
      </w:r>
    </w:p>
    <w:p>
      <w:pPr>
        <w:spacing w:line="360" w:lineRule="exact" w:before="0" w:after="40"/>
      </w:pPr>
      <w:r>
        <w:rPr>
          <w:rFonts w:ascii="Times New Roman" w:hAnsi="Times New Roman" w:eastAsia="SimSun"/>
          <w:b w:val="0"/>
          <w:i w:val="0"/>
          <w:sz w:val="21"/>
        </w:rPr>
        <w:t>[47] Chicco D, Jurman G. The advantages of the Matthews correlation coefficient (MCC) over F1 score and accuracy in binary classification evaluation[J]. BMC Genomics, 2020, 21(1): 1-13.</w:t>
      </w:r>
    </w:p>
    <w:p>
      <w:pPr>
        <w:spacing w:line="360" w:lineRule="exact" w:before="0" w:after="40"/>
      </w:pPr>
      <w:r>
        <w:rPr>
          <w:rFonts w:ascii="Times New Roman" w:hAnsi="Times New Roman" w:eastAsia="SimSun"/>
          <w:b w:val="0"/>
          <w:i w:val="0"/>
          <w:sz w:val="21"/>
        </w:rPr>
        <w:t>[48] Loshchilov I, Hutter F. Decoupled weight decay regularization[C]//International Conference on Learning Representations. New Orleans: ICLR, 2019.</w:t>
      </w:r>
    </w:p>
    <w:p>
      <w:pPr>
        <w:spacing w:line="360" w:lineRule="exact" w:before="0" w:after="40"/>
      </w:pPr>
      <w:r>
        <w:rPr>
          <w:rFonts w:ascii="Times New Roman" w:hAnsi="Times New Roman" w:eastAsia="SimSun"/>
          <w:b w:val="0"/>
          <w:i w:val="0"/>
          <w:sz w:val="21"/>
        </w:rPr>
        <w:t>[49] Prechelt L. Early stopping-but when?[M]//Neural Networks: Tricks of the Trade. Berlin: Springer, 2012: 85-99.</w:t>
      </w:r>
    </w:p>
    <w:p>
      <w:pPr>
        <w:spacing w:line="360" w:lineRule="exact" w:before="0" w:after="40"/>
      </w:pPr>
      <w:r>
        <w:rPr>
          <w:rFonts w:ascii="Times New Roman" w:hAnsi="Times New Roman" w:eastAsia="SimSun"/>
          <w:b w:val="0"/>
          <w:i w:val="0"/>
          <w:sz w:val="21"/>
        </w:rPr>
        <w:t>[50] Smith L N. Cyclical learning rates for training neural networks[C]//2017 IEEE Winter Conference on Applications of Computer Vision. Santa Rosa: IEEE, 2017: 464-472.</w:t>
      </w:r>
    </w:p>
    <w:p>
      <w:pPr>
        <w:spacing w:line="360" w:lineRule="exact" w:before="0" w:after="40"/>
      </w:pPr>
      <w:r>
        <w:rPr>
          <w:rFonts w:ascii="Times New Roman" w:hAnsi="Times New Roman" w:eastAsia="SimSun"/>
          <w:b w:val="0"/>
          <w:i w:val="0"/>
          <w:sz w:val="21"/>
        </w:rPr>
        <w:t>[51] 张强, 李明. 基于深度学习的医学影像辅助诊断系统设计与实现[J]. 计算机工程与应用, 2023, 59(12): 210-218.</w:t>
      </w:r>
    </w:p>
    <w:p>
      <w:pPr>
        <w:spacing w:line="360" w:lineRule="exact" w:before="0" w:after="40"/>
      </w:pPr>
      <w:r>
        <w:rPr>
          <w:rFonts w:ascii="Times New Roman" w:hAnsi="Times New Roman" w:eastAsia="SimSun"/>
          <w:b w:val="0"/>
          <w:i w:val="0"/>
          <w:sz w:val="21"/>
        </w:rPr>
        <w:t>[52] Esteva A, Topol E J. Deep learning for radiology and pathology[J]. The Lancet Digital Health, 2019, 3(10): e430-e431.</w:t>
      </w:r>
    </w:p>
    <w:p>
      <w:pPr>
        <w:spacing w:line="360" w:lineRule="exact" w:before="0" w:after="40"/>
      </w:pPr>
      <w:r>
        <w:rPr>
          <w:rFonts w:ascii="Times New Roman" w:hAnsi="Times New Roman" w:eastAsia="SimSun"/>
          <w:b w:val="0"/>
          <w:i w:val="0"/>
          <w:sz w:val="21"/>
        </w:rPr>
        <w:t>[53] Lundberg S M, Lee S I. A unified approach to interpreting model predictions[C]//Advances in Neural Information Processing Systems. Long Beach: NIPS, 2017: 4765-4774.</w:t>
      </w:r>
    </w:p>
    <w:p>
      <w:pPr>
        <w:spacing w:line="360" w:lineRule="exact" w:before="0" w:after="40"/>
      </w:pPr>
      <w:r>
        <w:rPr>
          <w:rFonts w:ascii="Times New Roman" w:hAnsi="Times New Roman" w:eastAsia="SimSun"/>
          <w:b w:val="0"/>
          <w:i w:val="0"/>
          <w:sz w:val="21"/>
        </w:rPr>
        <w:t>[54] Kelly C J, Karthikesalingam A, Suleyman M, et al. Key challenges for delivering clinical impact with artificial intelligence[J]. BMC Medicine, 2019, 17(1): 195.</w:t>
      </w:r>
    </w:p>
    <w:p>
      <w:pPr>
        <w:spacing w:line="360" w:lineRule="exact" w:before="0" w:after="40"/>
      </w:pPr>
      <w:r>
        <w:rPr>
          <w:rFonts w:ascii="Times New Roman" w:hAnsi="Times New Roman" w:eastAsia="SimSun"/>
          <w:b w:val="0"/>
          <w:i w:val="0"/>
          <w:sz w:val="21"/>
        </w:rPr>
        <w:t>[55] Han S, Mao H, Dally W J. Deep compression: Compressing deep neural networks with pruning, trained quantization and Huffman coding[C]//International Conference on Learning Representations (ICLR). San Juan: ICLR, 2016.</w:t>
      </w:r>
    </w:p>
    <w:p>
      <w:pPr>
        <w:pStyle w:val="Heading1"/>
        <w:spacing w:line="480" w:lineRule="exact"/>
      </w:pPr>
      <w:r>
        <w:rPr>
          <w:rFonts w:ascii="Times New Roman" w:hAnsi="Times New Roman" w:eastAsia="SimHei"/>
          <w:b/>
          <w:i w:val="0"/>
          <w:color w:val="000000"/>
          <w:sz w:val="32"/>
        </w:rPr>
        <w:t>攻读学位期间取得的研究成果</w:t>
      </w:r>
    </w:p>
    <w:p>
      <w:pPr>
        <w:spacing w:line="440" w:lineRule="exact" w:before="0" w:after="0"/>
        <w:ind w:firstLine="480"/>
        <w:jc w:val="both"/>
      </w:pPr>
      <w:r>
        <w:rPr>
          <w:rFonts w:ascii="Times New Roman" w:hAnsi="Times New Roman" w:eastAsia="SimSun"/>
          <w:b w:val="0"/>
          <w:i w:val="0"/>
          <w:sz w:val="24"/>
        </w:rPr>
        <w:t>（请在此列出攻读学位期间发表的论文、获得的专利及科研获奖等研究成果。）</w:t>
      </w:r>
    </w:p>
    <w:p>
      <w:r>
        <w:br w:type="page"/>
      </w:r>
    </w:p>
    <w:p>
      <w:pPr>
        <w:pStyle w:val="Heading1"/>
        <w:spacing w:line="480" w:lineRule="exact"/>
      </w:pPr>
      <w:r>
        <w:rPr>
          <w:rFonts w:ascii="Times New Roman" w:hAnsi="Times New Roman" w:eastAsia="SimHei"/>
          <w:b/>
          <w:i w:val="0"/>
          <w:color w:val="000000"/>
          <w:sz w:val="32"/>
        </w:rPr>
        <w:t>致谢</w:t>
      </w:r>
    </w:p>
    <w:p>
      <w:pPr>
        <w:spacing w:line="440" w:lineRule="exact" w:before="0" w:after="0"/>
        <w:ind w:firstLine="480"/>
        <w:jc w:val="both"/>
      </w:pPr>
      <w:r>
        <w:rPr>
          <w:rFonts w:ascii="Times New Roman" w:hAnsi="Times New Roman" w:eastAsia="SimSun"/>
          <w:b w:val="0"/>
          <w:i w:val="0"/>
          <w:sz w:val="24"/>
        </w:rPr>
        <w:t>在此，我谨向在论文撰写过程中给予我悉心指导和帮助的导师表示最诚挚的感谢。感谢各位评审专家在百忙之中审阅本文并提出宝贵的修改意见。同时感谢在学习和生活中给予我关心和支持的家人、同学和朋友们。</w:t>
      </w:r>
    </w:p>
    <w:p>
      <w:r>
        <w:br w:type="page"/>
      </w:r>
    </w:p>
    <w:p>
      <w:r>
        <w:br w:type="page"/>
      </w:r>
    </w:p>
    <w:p>
      <w:pPr>
        <w:pStyle w:val="Heading1"/>
        <w:spacing w:line="480" w:lineRule="exact"/>
      </w:pPr>
      <w:r>
        <w:rPr>
          <w:rFonts w:ascii="Times New Roman" w:hAnsi="Times New Roman" w:eastAsia="SimHei"/>
          <w:b/>
          <w:i w:val="0"/>
          <w:color w:val="000000"/>
          <w:sz w:val="32"/>
        </w:rPr>
        <w:t>插图清单</w:t>
      </w:r>
    </w:p>
    <w:p>
      <w:pPr>
        <w:spacing w:line="440" w:lineRule="exact" w:before="0" w:after="80"/>
      </w:pPr>
      <w:r>
        <w:rPr>
          <w:rFonts w:ascii="Times New Roman" w:hAnsi="Times New Roman" w:eastAsia="SimSun"/>
          <w:b w:val="0"/>
          <w:i w:val="0"/>
          <w:sz w:val="24"/>
        </w:rPr>
        <w:t>图3.1  基于改进ResNet的医疗影像分类算法总体架构图（黑白线条图风格，简洁框图，无装饰，无彩色）  ……</w:t>
      </w:r>
    </w:p>
    <w:p>
      <w:pPr>
        <w:spacing w:line="440" w:lineRule="exact" w:before="0" w:after="80"/>
      </w:pPr>
      <w:r>
        <w:rPr>
          <w:rFonts w:ascii="Times New Roman" w:hAnsi="Times New Roman" w:eastAsia="SimSun"/>
          <w:b w:val="0"/>
          <w:i w:val="0"/>
          <w:sz w:val="24"/>
        </w:rPr>
        <w:t>图4.1  各模型训练损失收敛曲线对比  ……</w:t>
      </w:r>
    </w:p>
    <w:p>
      <w:pPr>
        <w:spacing w:line="440" w:lineRule="exact" w:before="0" w:after="80"/>
      </w:pPr>
      <w:r>
        <w:rPr>
          <w:rFonts w:ascii="Times New Roman" w:hAnsi="Times New Roman" w:eastAsia="SimSun"/>
          <w:b w:val="0"/>
          <w:i w:val="0"/>
          <w:sz w:val="24"/>
        </w:rPr>
        <w:t>图4.2  基于Grad-CAM的典型病例热力图可视化对比（黑白线条图风格，简洁框图，无装饰，无彩色）  ……</w:t>
      </w:r>
    </w:p>
    <w:p>
      <w:pPr>
        <w:pStyle w:val="Heading1"/>
        <w:spacing w:line="480" w:lineRule="exact"/>
      </w:pPr>
      <w:r>
        <w:rPr>
          <w:rFonts w:ascii="Times New Roman" w:hAnsi="Times New Roman" w:eastAsia="SimHei"/>
          <w:b/>
          <w:i w:val="0"/>
          <w:color w:val="000000"/>
          <w:sz w:val="32"/>
        </w:rPr>
        <w:t>附表清单</w:t>
      </w:r>
    </w:p>
    <w:p>
      <w:pPr>
        <w:spacing w:line="440" w:lineRule="exact" w:before="0" w:after="80"/>
      </w:pPr>
      <w:r>
        <w:rPr>
          <w:rFonts w:ascii="Times New Roman" w:hAnsi="Times New Roman" w:eastAsia="SimSun"/>
          <w:b w:val="0"/>
          <w:i w:val="0"/>
          <w:sz w:val="24"/>
        </w:rPr>
        <w:t>表2.1  经典卷积神经网络模型性能与复杂度对比  ……</w:t>
      </w:r>
    </w:p>
    <w:p>
      <w:pPr>
        <w:spacing w:line="440" w:lineRule="exact" w:before="0" w:after="80"/>
      </w:pPr>
      <w:r>
        <w:rPr>
          <w:rFonts w:ascii="Times New Roman" w:hAnsi="Times New Roman" w:eastAsia="SimSun"/>
          <w:b w:val="0"/>
          <w:i w:val="0"/>
          <w:sz w:val="24"/>
        </w:rPr>
        <w:t>表3.1  CBAM模块在ResNet50各阶段的嵌入配置参数  ……</w:t>
      </w:r>
    </w:p>
    <w:p>
      <w:pPr>
        <w:spacing w:line="440" w:lineRule="exact" w:before="0" w:after="80"/>
      </w:pPr>
      <w:r>
        <w:rPr>
          <w:rFonts w:ascii="Times New Roman" w:hAnsi="Times New Roman" w:eastAsia="SimSun"/>
          <w:b w:val="0"/>
          <w:i w:val="0"/>
          <w:sz w:val="24"/>
        </w:rPr>
        <w:t>表4.1  实验硬件与软件环境配置详情  ……</w:t>
      </w:r>
    </w:p>
    <w:p>
      <w:pPr>
        <w:spacing w:line="440" w:lineRule="exact" w:before="0" w:after="80"/>
      </w:pPr>
      <w:r>
        <w:rPr>
          <w:rFonts w:ascii="Times New Roman" w:hAnsi="Times New Roman" w:eastAsia="SimSun"/>
          <w:b w:val="0"/>
          <w:i w:val="0"/>
          <w:sz w:val="24"/>
        </w:rPr>
        <w:t>表4.2  不同模型在测试集上的性能对比  ……</w:t>
      </w:r>
    </w:p>
    <w:p>
      <w:pPr>
        <w:spacing w:line="440" w:lineRule="exact" w:before="0" w:after="80"/>
      </w:pPr>
      <w:r>
        <w:rPr>
          <w:rFonts w:ascii="Times New Roman" w:hAnsi="Times New Roman" w:eastAsia="SimSun"/>
          <w:b w:val="0"/>
          <w:i w:val="0"/>
          <w:sz w:val="24"/>
        </w:rPr>
        <w:t>表4.3  消融实验结果对比  ……</w:t>
      </w:r>
    </w:p>
    <w:sectPr w:rsidR="00FC693F" w:rsidRPr="0006063C" w:rsidSect="00034616">
      <w:footerReference w:type="default" r:id="rId10"/>
      <w:pgSz w:w="11906" w:h="16838"/>
      <w:pgMar w:top="1701" w:right="1417" w:bottom="1417" w:left="1701" w:header="720" w:footer="720" w:gutter="0"/>
      <w:cols w:space="720"/>
      <w:titlePg/>
      <w:docGrid w:linePitch="360"/>
      <w:pgNumType w:fmt="decimal"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sz w:val="21"/>
      </w:rPr>
      <w:fldChar w:fldCharType="begin"/>
    </w:r>
    <w:r>
      <w:rPr>
        <w:rFonts w:ascii="Times New Roman" w:hAnsi="Times New Roman" w:eastAsia="Times New Roman"/>
        <w:b w:val="0"/>
        <w:i w:val="0"/>
        <w:sz w:val="21"/>
      </w:rPr>
      <w:instrText xml:space="preserve"> PAGE </w:instrText>
    </w:r>
    <w:r>
      <w:fldChar w:fldCharType="separate"/>
    </w:r>
    <w:r>
      <w:rPr>
        <w:rFonts w:ascii="Times New Roman" w:hAnsi="Times New Roman" w:eastAsia="Times New Roman"/>
        <w:b w:val="0"/>
        <w:i w:val="0"/>
        <w:sz w:val="21"/>
      </w:rPr>
      <w:t>1</w:t>
    </w:r>
    <w:r>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sz w:val="21"/>
      </w:rPr>
      <w:fldChar w:fldCharType="begin"/>
    </w:r>
    <w:r>
      <w:rPr>
        <w:rFonts w:ascii="Times New Roman" w:hAnsi="Times New Roman" w:eastAsia="Times New Roman"/>
        <w:b w:val="0"/>
        <w:i w:val="0"/>
        <w:sz w:val="21"/>
      </w:rPr>
      <w:instrText xml:space="preserve"> PAGE </w:instrText>
    </w:r>
    <w:r>
      <w:fldChar w:fldCharType="separate"/>
    </w:r>
    <w:r>
      <w:rPr>
        <w:rFonts w:ascii="Times New Roman" w:hAnsi="Times New Roman" w:eastAsia="Times New Roman"/>
        <w:b w:val="0"/>
        <w:i w:val="0"/>
        <w:sz w:val="21"/>
      </w:rPr>
      <w:t>1</w:t>
    </w:r>
    <w:r>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40" w:lineRule="exact" w:before="0" w:after="0"/>
    </w:pPr>
    <w:rPr>
      <w:rFonts w:ascii="Times New Roman" w:hAnsi="Times New Roman" w:eastAsia="SimSu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360" w:line="480" w:lineRule="exact"/>
      <w:jc w:val="center"/>
      <w:outlineLvl w:val="0"/>
    </w:pPr>
    <w:rPr>
      <w:rFonts w:asciiTheme="majorHAnsi" w:eastAsiaTheme="majorEastAsia" w:hAnsiTheme="majorHAnsi" w:cstheme="majorBidi" w:ascii="Times New Roman" w:hAnsi="Times New Roman" w:eastAsia="SimHei"/>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80" w:after="160" w:line="440" w:lineRule="exact"/>
      <w:jc w:val="left"/>
      <w:outlineLvl w:val="1"/>
    </w:pPr>
    <w:rPr>
      <w:rFonts w:asciiTheme="majorHAnsi" w:eastAsiaTheme="majorEastAsia" w:hAnsiTheme="majorHAnsi" w:cstheme="majorBidi" w:ascii="Times New Roman" w:hAnsi="Times New Roman" w:eastAsia="SimHei"/>
      <w:b/>
      <w:bCs/>
      <w:color w:val="000000"/>
      <w:sz w:val="28"/>
      <w:szCs w:val="26"/>
    </w:rPr>
  </w:style>
  <w:style w:type="paragraph" w:styleId="Heading3">
    <w:name w:val="heading 3"/>
    <w:basedOn w:val="Normal"/>
    <w:next w:val="Normal"/>
    <w:link w:val="Heading3Char"/>
    <w:uiPriority w:val="9"/>
    <w:unhideWhenUsed/>
    <w:qFormat/>
    <w:rsid w:val="00FC693F"/>
    <w:pPr>
      <w:keepNext/>
      <w:keepLines/>
      <w:spacing w:before="200" w:after="120" w:line="440" w:lineRule="exact"/>
      <w:jc w:val="left"/>
      <w:outlineLvl w:val="2"/>
    </w:pPr>
    <w:rPr>
      <w:rFonts w:asciiTheme="majorHAnsi" w:eastAsiaTheme="majorEastAsia" w:hAnsiTheme="majorHAnsi" w:cstheme="majorBidi" w:ascii="Times New Roman" w:hAnsi="Times New Roman" w:eastAsia="SimHei"/>
      <w:b/>
      <w:bCs/>
      <w:color w:val="000000"/>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OC1">
    <w:name w:val="TOC 1"/>
    <w:pPr>
      <w:ind w:left="0"/>
    </w:pPr>
    <w:rPr>
      <w:rFonts w:ascii="Times New Roman" w:hAnsi="Times New Roman" w:eastAsia="SimHei"/>
      <w:sz w:val="24"/>
    </w:rPr>
  </w:style>
  <w:style w:type="paragraph" w:customStyle="1" w:styleId="TOC2">
    <w:name w:val="TOC 2"/>
    <w:pPr>
      <w:ind w:left="240"/>
    </w:pPr>
    <w:rPr>
      <w:rFonts w:ascii="Times New Roman" w:hAnsi="Times New Roman" w:eastAsia="SimSun"/>
      <w:sz w:val="24"/>
    </w:rPr>
  </w:style>
  <w:style w:type="paragraph" w:customStyle="1" w:styleId="TOC3">
    <w:name w:val="TOC 3"/>
    <w:pPr>
      <w:ind w:left="480"/>
    </w:pPr>
    <w:rPr>
      <w:rFonts w:ascii="Times New Roman" w:hAnsi="Times New Roman" w:eastAsia="SimSu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