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1200"/>
      </w:pPr>
    </w:p>
    <w:p>
      <w:pPr>
        <w:spacing w:line="440" w:lineRule="exact" w:before="0" w:after="480"/>
        <w:jc w:val="center"/>
      </w:pPr>
      <w:r>
        <w:rPr>
          <w:rFonts w:ascii="Times New Roman" w:hAnsi="Times New Roman" w:eastAsia="SimHei"/>
          <w:b/>
          <w:sz w:val="28"/>
        </w:rPr>
        <w:t>赛迪研究院新能源汽车产业研究中心</w:t>
      </w:r>
    </w:p>
    <w:p>
      <w:pPr>
        <w:spacing w:line="440" w:lineRule="exact" w:before="0" w:after="480"/>
        <w:jc w:val="center"/>
      </w:pPr>
      <w:r>
        <w:rPr>
          <w:rFonts w:ascii="Times New Roman" w:hAnsi="Times New Roman" w:eastAsia="SimHei"/>
          <w:b/>
          <w:sz w:val="44"/>
        </w:rPr>
        <w:t>调 研 报 告</w:t>
      </w:r>
    </w:p>
    <w:p>
      <w:pPr>
        <w:spacing w:line="440" w:lineRule="exact" w:before="0" w:after="720"/>
        <w:jc w:val="center"/>
      </w:pPr>
      <w:r>
        <w:rPr>
          <w:rFonts w:ascii="Times New Roman" w:hAnsi="Times New Roman" w:eastAsia="SimHei"/>
          <w:b/>
          <w:sz w:val="32"/>
        </w:rPr>
        <w:t>2025-2030年全球固态电池产业化进展与市场前景调研报告</w:t>
      </w:r>
    </w:p>
    <w:p>
      <w:pPr>
        <w:spacing w:line="440" w:lineRule="exact" w:before="0" w:after="120"/>
        <w:jc w:val="center"/>
      </w:pPr>
      <w:r>
        <w:rPr>
          <w:rFonts w:ascii="Times New Roman" w:hAnsi="Times New Roman" w:eastAsia="SimSun"/>
          <w:b w:val="0"/>
          <w:sz w:val="24"/>
        </w:rPr>
        <w:t>李振华　赛迪研究院（中国电子信息产业发展研究院）</w:t>
      </w:r>
    </w:p>
    <w:p>
      <w:pPr>
        <w:spacing w:line="440" w:lineRule="exact" w:before="360" w:after="160"/>
        <w:jc w:val="center"/>
      </w:pPr>
      <w:r>
        <w:rPr>
          <w:rFonts w:ascii="Times New Roman" w:hAnsi="Times New Roman" w:eastAsia="SimSun"/>
          <w:b w:val="0"/>
          <w:sz w:val="24"/>
        </w:rPr>
        <w:t>报告编号：CCID-2026-0173</w:t>
      </w:r>
    </w:p>
    <w:p>
      <w:pPr>
        <w:spacing w:line="440" w:lineRule="exact" w:before="0" w:after="160"/>
        <w:jc w:val="center"/>
      </w:pPr>
      <w:r>
        <w:rPr>
          <w:rFonts w:ascii="Times New Roman" w:hAnsi="Times New Roman" w:eastAsia="SimSun"/>
          <w:b w:val="0"/>
          <w:sz w:val="24"/>
        </w:rPr>
        <w:t>密级：公开</w:t>
      </w:r>
    </w:p>
    <w:p>
      <w:pPr>
        <w:spacing w:line="440" w:lineRule="exact" w:before="0" w:after="160"/>
        <w:jc w:val="center"/>
      </w:pPr>
      <w:r>
        <w:rPr>
          <w:rFonts w:ascii="Times New Roman" w:hAnsi="Times New Roman" w:eastAsia="SimSun"/>
          <w:b w:val="0"/>
          <w:sz w:val="24"/>
        </w:rPr>
        <w:t>2026年3月</w:t>
      </w:r>
    </w:p>
    <w:p>
      <w:r>
        <w:br w:type="page"/>
      </w:r>
    </w:p>
    <w:p>
      <w:pPr>
        <w:spacing w:line="440" w:lineRule="exact" w:before="240" w:after="240"/>
        <w:jc w:val="center"/>
      </w:pPr>
      <w:r>
        <w:rPr>
          <w:rFonts w:ascii="Times New Roman" w:hAnsi="Times New Roman" w:eastAsia="SimHei"/>
          <w:b/>
          <w:sz w:val="28"/>
        </w:rPr>
        <w:t>摘  要</w:t>
      </w:r>
    </w:p>
    <w:p>
      <w:pPr>
        <w:spacing w:line="440" w:lineRule="exact" w:before="0" w:after="0"/>
        <w:ind w:firstLine="480"/>
        <w:jc w:val="both"/>
      </w:pPr>
      <w:r>
        <w:rPr>
          <w:rFonts w:ascii="Times New Roman" w:hAnsi="Times New Roman" w:eastAsia="SimSun"/>
          <w:b w:val="0"/>
          <w:sz w:val="24"/>
        </w:rPr>
        <w:t>本研究旨在厘清全球固态电池技术路线演进、产业化现状及未来市场格局，为产业投资决策提供依据。采用文献计量、企业深度访谈及专利地图分析方法，覆盖中日韩欧美主要企业与科研机构。调研显示：氧化物体系在中国主导下成本优势明显但界面阻抗大；硫化物体系由日本丰田领先，离子电导率高但空气稳定性差；聚合物体系欧洲布局早，工艺兼容性好但室温电导率低。产业化方面，丰田计划2027-2028年量产，宁德时代半固态电池已装车，QuantumScape推进车规验证。预计2025年全球市场规模约15亿美元，2030年将突破120亿美元，年均复合增长率（CAGR）达52%。然而，固态电解质成本高（硫化物约500美元/kg）、界面阻抗导致倍率性能受限、缺乏成熟卷对卷生产工艺及锂枝晶问题仍是主要瓶颈。结论认为半固态是短期商业化最优解。建议近期聚焦“液态+固态”混合方案，加速电解质材料国产替代以降低成本，并尽快建立统一的测试评价标准体系。</w:t>
      </w:r>
    </w:p>
    <w:p>
      <w:pPr>
        <w:spacing w:line="440" w:lineRule="exact" w:before="240" w:after="240"/>
      </w:pPr>
      <w:r>
        <w:rPr>
          <w:rFonts w:ascii="Times New Roman" w:hAnsi="Times New Roman" w:eastAsia="SimSun"/>
          <w:b w:val="0"/>
          <w:sz w:val="24"/>
        </w:rPr>
        <w:t>关键词：固态电池；产业化进程；技术路线；市场前景；固态电解质</w:t>
      </w:r>
    </w:p>
    <w:p>
      <w:r>
        <w:br w:type="page"/>
      </w:r>
    </w:p>
    <w:p>
      <w:pPr>
        <w:spacing w:line="440" w:lineRule="exact" w:before="360" w:after="200"/>
      </w:pPr>
      <w:r>
        <w:rPr>
          <w:rFonts w:ascii="Times New Roman" w:hAnsi="Times New Roman" w:eastAsia="SimHei"/>
          <w:b/>
          <w:sz w:val="28"/>
        </w:rPr>
        <w:t>1 调研背景与目的</w:t>
      </w:r>
    </w:p>
    <w:p>
      <w:pPr>
        <w:spacing w:line="440" w:lineRule="exact" w:before="0" w:after="0"/>
        <w:ind w:firstLine="480"/>
        <w:jc w:val="both"/>
      </w:pPr>
      <w:r>
        <w:rPr>
          <w:rFonts w:ascii="Times New Roman" w:hAnsi="Times New Roman" w:eastAsia="SimSun"/>
          <w:b w:val="0"/>
          <w:sz w:val="24"/>
        </w:rPr>
        <w:t>随着新能源汽车产业的快速发展，传统液态锂离子电池的能量密度已逼近其理论极限（约300 Wh/kg），且存在易燃电解液带来的安全隐患。固态电池凭借高安全性（无易燃有机溶剂）和高能量密度潜力（理论值&gt;500 Wh/kg），被公认为下一代动力电池的核心发展方向。</w:t>
      </w:r>
    </w:p>
    <w:p>
      <w:pPr>
        <w:spacing w:line="440" w:lineRule="exact" w:before="0" w:after="0"/>
        <w:ind w:firstLine="480"/>
        <w:jc w:val="both"/>
      </w:pPr>
      <w:r>
        <w:rPr>
          <w:rFonts w:ascii="Times New Roman" w:hAnsi="Times New Roman" w:eastAsia="SimSun"/>
          <w:b w:val="0"/>
          <w:sz w:val="24"/>
        </w:rPr>
        <w:t>本次调研旨在系统梳理2025-2030年全球固态电池的技术路线分歧、产业化关键节点及市场竞争格局，识别制约大规模商业化的核心瓶颈，并为相关政策制定与企业战略规划提供数据支撑与建议。</w:t>
      </w:r>
    </w:p>
    <w:p>
      <w:pPr>
        <w:spacing w:line="440" w:lineRule="exact" w:before="360" w:after="200"/>
      </w:pPr>
      <w:r>
        <w:rPr>
          <w:rFonts w:ascii="Times New Roman" w:hAnsi="Times New Roman" w:eastAsia="SimHei"/>
          <w:b/>
          <w:sz w:val="28"/>
        </w:rPr>
        <w:t>2 调研方法与范围</w:t>
      </w:r>
    </w:p>
    <w:p>
      <w:pPr>
        <w:spacing w:line="440" w:lineRule="exact" w:before="0" w:after="0"/>
        <w:ind w:firstLine="480"/>
        <w:jc w:val="both"/>
      </w:pPr>
      <w:r>
        <w:rPr>
          <w:rFonts w:ascii="Times New Roman" w:hAnsi="Times New Roman" w:eastAsia="SimSun"/>
          <w:b w:val="0"/>
          <w:sz w:val="24"/>
        </w:rPr>
        <w:t>本次调研采用定性与定量相结合的方法。定性方面，通过文献调研梳理近五年核心技术专利，并对中日韩欧美代表性企业及研究机构进行半结构化访谈；定量方面，基于历史装机数据构建市场预测模型。</w:t>
      </w:r>
    </w:p>
    <w:p>
      <w:pPr>
        <w:spacing w:line="440" w:lineRule="exact" w:before="0" w:after="0"/>
        <w:ind w:firstLine="480"/>
        <w:jc w:val="both"/>
      </w:pPr>
      <w:r>
        <w:rPr>
          <w:rFonts w:ascii="Times New Roman" w:hAnsi="Times New Roman" w:eastAsia="SimSun"/>
          <w:b w:val="0"/>
          <w:sz w:val="24"/>
        </w:rPr>
        <w:t>调研范围覆盖全球主要动力电池产区，重点对象包括日本的丰田、松下，中国的宁德时代、卫蓝新能源，美国的QuantumScape以及欧洲的Solid Power等。数据采集截止时间为2025年第一季度。</w:t>
      </w:r>
    </w:p>
    <w:p>
      <w:pPr>
        <w:spacing w:line="440" w:lineRule="exact" w:before="360" w:after="200"/>
      </w:pPr>
      <w:r>
        <w:rPr>
          <w:rFonts w:ascii="Times New Roman" w:hAnsi="Times New Roman" w:eastAsia="SimHei"/>
          <w:b/>
          <w:sz w:val="28"/>
        </w:rPr>
        <w:t>3 全球固态电池技术路线现状分析</w:t>
      </w:r>
    </w:p>
    <w:p>
      <w:pPr>
        <w:spacing w:line="440" w:lineRule="exact" w:before="0" w:after="0"/>
        <w:ind w:firstLine="480"/>
        <w:jc w:val="both"/>
      </w:pPr>
      <w:r>
        <w:rPr>
          <w:rFonts w:ascii="Times New Roman" w:hAnsi="Times New Roman" w:eastAsia="SimSun"/>
          <w:b w:val="0"/>
          <w:sz w:val="24"/>
        </w:rPr>
        <w:t>目前全球固态电池研发主要聚焦于氧化物、硫化物和聚合物三大技术路线，各路线在材料特性、制备工艺及适用场景上存在显著差异。</w:t>
      </w:r>
    </w:p>
    <w:p>
      <w:pPr>
        <w:spacing w:line="440" w:lineRule="exact" w:before="240" w:after="120"/>
      </w:pPr>
      <w:r>
        <w:rPr>
          <w:rFonts w:ascii="Times New Roman" w:hAnsi="Times New Roman" w:eastAsia="SimHei"/>
          <w:b/>
          <w:sz w:val="24"/>
        </w:rPr>
        <w:t>3.1 主要技术路线对比</w:t>
      </w:r>
    </w:p>
    <w:p>
      <w:pPr>
        <w:spacing w:line="440" w:lineRule="exact" w:before="0" w:after="0"/>
        <w:ind w:firstLine="480"/>
        <w:jc w:val="both"/>
      </w:pPr>
      <w:r>
        <w:rPr>
          <w:rFonts w:ascii="Times New Roman" w:hAnsi="Times New Roman" w:eastAsia="SimSun"/>
          <w:b w:val="0"/>
          <w:sz w:val="24"/>
        </w:rPr>
        <w:t>氧化物固态电解质由中国企业主导研发，其机械强度高、电化学窗口宽，且原材料成本相对较低。然而，氧化物陶瓷质地脆硬，固-固界面接触阻抗大，通常需要添加少量液态电解质润湿界面，因此当前多以“半固态”形式过渡。</w:t>
      </w:r>
    </w:p>
    <w:p>
      <w:pPr>
        <w:spacing w:line="440" w:lineRule="exact" w:before="0" w:after="0"/>
        <w:ind w:firstLine="480"/>
        <w:jc w:val="both"/>
      </w:pPr>
      <w:r>
        <w:rPr>
          <w:rFonts w:ascii="Times New Roman" w:hAnsi="Times New Roman" w:eastAsia="SimSun"/>
          <w:b w:val="0"/>
          <w:sz w:val="24"/>
        </w:rPr>
        <w:t>硫化物固态电解质由日本丰田等企业领先布局，其室温离子电导率最高（可达10⁻² S/cm量级），接近液态电解液水平，且具备较好的可加工性。但其最大缺陷是对空气敏感，遇水易产生有毒硫化氢气体，对生产环境的干燥度要求极高，导致制造成本高昂。</w:t>
      </w:r>
    </w:p>
    <w:p>
      <w:pPr>
        <w:spacing w:line="440" w:lineRule="exact" w:before="0" w:after="0"/>
        <w:ind w:firstLine="480"/>
        <w:jc w:val="both"/>
      </w:pPr>
      <w:r>
        <w:rPr>
          <w:rFonts w:ascii="Times New Roman" w:hAnsi="Times New Roman" w:eastAsia="SimSun"/>
          <w:b w:val="0"/>
          <w:sz w:val="24"/>
        </w:rPr>
        <w:t>聚合物固态电解质在欧洲早期研究中占据主流，其柔韧性好，与现有锂电池生产设备兼容性最佳。但聚合物在室温下离子电导率极低，通常需在60 °C以上工作，限制了其在常温环境下的应用，目前主要应用于特定高温场景或作为复合电解质组分。</w:t>
      </w:r>
    </w:p>
    <w:p>
      <w:pPr>
        <w:spacing w:line="440" w:lineRule="exact" w:before="120" w:after="80"/>
        <w:jc w:val="center"/>
      </w:pPr>
      <w:r>
        <w:rPr>
          <w:rFonts w:ascii="Times New Roman" w:hAnsi="Times New Roman" w:eastAsia="SimHei"/>
          <w:b/>
          <w:sz w:val="24"/>
        </w:rPr>
        <w:t>表 1  三大固态电池技术路线特性对比</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1758"/>
        <w:gridCol w:w="1758"/>
        <w:gridCol w:w="1758"/>
        <w:gridCol w:w="1758"/>
        <w:gridCol w:w="1758"/>
      </w:tblGrid>
      <w:tr>
        <w:tc>
          <w:tcPr>
            <w:tcW w:type="dxa" w:w="1758"/>
          </w:tcPr>
          <w:p>
            <w:pPr>
              <w:jc w:val="center"/>
            </w:pPr>
            <w:r/>
            <w:r>
              <w:rPr>
                <w:rFonts w:eastAsia="SimSun" w:ascii="Times New Roman" w:hAnsi="Times New Roman"/>
                <w:b/>
                <w:color w:val="111827"/>
                <w:sz w:val="21"/>
              </w:rPr>
              <w:t>技术路线</w:t>
            </w:r>
          </w:p>
        </w:tc>
        <w:tc>
          <w:tcPr>
            <w:tcW w:type="dxa" w:w="1758"/>
          </w:tcPr>
          <w:p>
            <w:pPr>
              <w:jc w:val="center"/>
            </w:pPr>
            <w:r/>
            <w:r>
              <w:rPr>
                <w:rFonts w:eastAsia="SimSun" w:ascii="Times New Roman" w:hAnsi="Times New Roman"/>
                <w:b/>
                <w:color w:val="111827"/>
                <w:sz w:val="21"/>
              </w:rPr>
              <w:t>代表国家/地区</w:t>
            </w:r>
          </w:p>
        </w:tc>
        <w:tc>
          <w:tcPr>
            <w:tcW w:type="dxa" w:w="1758"/>
          </w:tcPr>
          <w:p>
            <w:pPr>
              <w:jc w:val="center"/>
            </w:pPr>
            <w:r/>
            <w:r>
              <w:rPr>
                <w:rFonts w:eastAsia="SimSun" w:ascii="Times New Roman" w:hAnsi="Times New Roman"/>
                <w:b/>
                <w:color w:val="111827"/>
                <w:sz w:val="21"/>
              </w:rPr>
              <w:t>离子电导率</w:t>
            </w:r>
          </w:p>
        </w:tc>
        <w:tc>
          <w:tcPr>
            <w:tcW w:type="dxa" w:w="1758"/>
          </w:tcPr>
          <w:p>
            <w:pPr>
              <w:jc w:val="center"/>
            </w:pPr>
            <w:r/>
            <w:r>
              <w:rPr>
                <w:rFonts w:eastAsia="SimSun" w:ascii="Times New Roman" w:hAnsi="Times New Roman"/>
                <w:b/>
                <w:color w:val="111827"/>
                <w:sz w:val="21"/>
              </w:rPr>
              <w:t>主要优势</w:t>
            </w:r>
          </w:p>
        </w:tc>
        <w:tc>
          <w:tcPr>
            <w:tcW w:type="dxa" w:w="1758"/>
          </w:tcPr>
          <w:p>
            <w:pPr>
              <w:jc w:val="center"/>
            </w:pPr>
            <w:r/>
            <w:r>
              <w:rPr>
                <w:rFonts w:eastAsia="SimSun" w:ascii="Times New Roman" w:hAnsi="Times New Roman"/>
                <w:b/>
                <w:color w:val="111827"/>
                <w:sz w:val="21"/>
              </w:rPr>
              <w:t>核心瓶颈</w:t>
            </w:r>
          </w:p>
        </w:tc>
      </w:tr>
      <w:tr>
        <w:tc>
          <w:tcPr>
            <w:tcW w:type="dxa" w:w="1758"/>
          </w:tcPr>
          <w:p>
            <w:pPr>
              <w:jc w:val="left"/>
            </w:pPr>
            <w:r/>
            <w:r>
              <w:rPr>
                <w:rFonts w:eastAsia="SimSun" w:ascii="Times New Roman" w:hAnsi="Times New Roman"/>
                <w:color w:val="4B5563"/>
                <w:sz w:val="18"/>
              </w:rPr>
              <w:t>氧化物</w:t>
            </w:r>
          </w:p>
        </w:tc>
        <w:tc>
          <w:tcPr>
            <w:tcW w:type="dxa" w:w="1758"/>
          </w:tcPr>
          <w:p>
            <w:pPr>
              <w:jc w:val="left"/>
            </w:pPr>
            <w:r/>
            <w:r>
              <w:rPr>
                <w:rFonts w:eastAsia="SimSun" w:ascii="Times New Roman" w:hAnsi="Times New Roman"/>
                <w:color w:val="4B5563"/>
                <w:sz w:val="18"/>
              </w:rPr>
              <w:t>中国</w:t>
            </w:r>
          </w:p>
        </w:tc>
        <w:tc>
          <w:tcPr>
            <w:tcW w:type="dxa" w:w="1758"/>
          </w:tcPr>
          <w:p>
            <w:pPr>
              <w:jc w:val="left"/>
            </w:pPr>
            <w:r/>
            <w:r>
              <w:rPr>
                <w:rFonts w:eastAsia="SimSun" w:ascii="Times New Roman" w:hAnsi="Times New Roman"/>
                <w:color w:val="4B5563"/>
                <w:sz w:val="18"/>
              </w:rPr>
              <w:t>中等</w:t>
            </w:r>
          </w:p>
        </w:tc>
        <w:tc>
          <w:tcPr>
            <w:tcW w:type="dxa" w:w="1758"/>
          </w:tcPr>
          <w:p>
            <w:pPr>
              <w:jc w:val="left"/>
            </w:pPr>
            <w:r/>
            <w:r>
              <w:rPr>
                <w:rFonts w:eastAsia="SimSun" w:ascii="Times New Roman" w:hAnsi="Times New Roman"/>
                <w:color w:val="4B5563"/>
                <w:sz w:val="18"/>
              </w:rPr>
              <w:t>成本低、稳定性好</w:t>
            </w:r>
          </w:p>
        </w:tc>
        <w:tc>
          <w:tcPr>
            <w:tcW w:type="dxa" w:w="1758"/>
          </w:tcPr>
          <w:p>
            <w:pPr>
              <w:jc w:val="left"/>
            </w:pPr>
            <w:r/>
            <w:r>
              <w:rPr>
                <w:rFonts w:eastAsia="SimSun" w:ascii="Times New Roman" w:hAnsi="Times New Roman"/>
                <w:color w:val="4B5563"/>
                <w:sz w:val="18"/>
              </w:rPr>
              <w:t>界面阻抗大、脆性高</w:t>
            </w:r>
          </w:p>
        </w:tc>
      </w:tr>
      <w:tr>
        <w:tc>
          <w:tcPr>
            <w:tcW w:type="dxa" w:w="1758"/>
          </w:tcPr>
          <w:p>
            <w:pPr>
              <w:jc w:val="left"/>
            </w:pPr>
            <w:r/>
            <w:r>
              <w:rPr>
                <w:rFonts w:eastAsia="SimSun" w:ascii="Times New Roman" w:hAnsi="Times New Roman"/>
                <w:color w:val="4B5563"/>
                <w:sz w:val="18"/>
              </w:rPr>
              <w:t>硫化物</w:t>
            </w:r>
          </w:p>
        </w:tc>
        <w:tc>
          <w:tcPr>
            <w:tcW w:type="dxa" w:w="1758"/>
          </w:tcPr>
          <w:p>
            <w:pPr>
              <w:jc w:val="left"/>
            </w:pPr>
            <w:r/>
            <w:r>
              <w:rPr>
                <w:rFonts w:eastAsia="SimSun" w:ascii="Times New Roman" w:hAnsi="Times New Roman"/>
                <w:color w:val="4B5563"/>
                <w:sz w:val="18"/>
              </w:rPr>
              <w:t>日本</w:t>
            </w:r>
          </w:p>
        </w:tc>
        <w:tc>
          <w:tcPr>
            <w:tcW w:type="dxa" w:w="1758"/>
          </w:tcPr>
          <w:p>
            <w:pPr>
              <w:jc w:val="left"/>
            </w:pPr>
            <w:r/>
            <w:r>
              <w:rPr>
                <w:rFonts w:eastAsia="SimSun" w:ascii="Times New Roman" w:hAnsi="Times New Roman"/>
                <w:color w:val="4B5563"/>
                <w:sz w:val="18"/>
              </w:rPr>
              <w:t>高</w:t>
            </w:r>
          </w:p>
        </w:tc>
        <w:tc>
          <w:tcPr>
            <w:tcW w:type="dxa" w:w="1758"/>
          </w:tcPr>
          <w:p>
            <w:pPr>
              <w:jc w:val="left"/>
            </w:pPr>
            <w:r/>
            <w:r>
              <w:rPr>
                <w:rFonts w:eastAsia="SimSun" w:ascii="Times New Roman" w:hAnsi="Times New Roman"/>
                <w:color w:val="4B5563"/>
                <w:sz w:val="18"/>
              </w:rPr>
              <w:t>电导率高、接触好</w:t>
            </w:r>
          </w:p>
        </w:tc>
        <w:tc>
          <w:tcPr>
            <w:tcW w:type="dxa" w:w="1758"/>
          </w:tcPr>
          <w:p>
            <w:pPr>
              <w:jc w:val="left"/>
            </w:pPr>
            <w:r/>
            <w:r>
              <w:rPr>
                <w:rFonts w:eastAsia="SimSun" w:ascii="Times New Roman" w:hAnsi="Times New Roman"/>
                <w:color w:val="4B5563"/>
                <w:sz w:val="18"/>
              </w:rPr>
              <w:t>空气稳定性差、成本高</w:t>
            </w:r>
          </w:p>
        </w:tc>
      </w:tr>
      <w:tr>
        <w:tc>
          <w:tcPr>
            <w:tcW w:type="dxa" w:w="1758"/>
          </w:tcPr>
          <w:p>
            <w:pPr>
              <w:jc w:val="left"/>
            </w:pPr>
            <w:r/>
            <w:r>
              <w:rPr>
                <w:rFonts w:eastAsia="SimSun" w:ascii="Times New Roman" w:hAnsi="Times New Roman"/>
                <w:color w:val="4B5563"/>
                <w:sz w:val="18"/>
              </w:rPr>
              <w:t>聚合物</w:t>
            </w:r>
          </w:p>
        </w:tc>
        <w:tc>
          <w:tcPr>
            <w:tcW w:type="dxa" w:w="1758"/>
          </w:tcPr>
          <w:p>
            <w:pPr>
              <w:jc w:val="left"/>
            </w:pPr>
            <w:r/>
            <w:r>
              <w:rPr>
                <w:rFonts w:eastAsia="SimSun" w:ascii="Times New Roman" w:hAnsi="Times New Roman"/>
                <w:color w:val="4B5563"/>
                <w:sz w:val="18"/>
              </w:rPr>
              <w:t>欧洲</w:t>
            </w:r>
          </w:p>
        </w:tc>
        <w:tc>
          <w:tcPr>
            <w:tcW w:type="dxa" w:w="1758"/>
          </w:tcPr>
          <w:p>
            <w:pPr>
              <w:jc w:val="left"/>
            </w:pPr>
            <w:r/>
            <w:r>
              <w:rPr>
                <w:rFonts w:eastAsia="SimSun" w:ascii="Times New Roman" w:hAnsi="Times New Roman"/>
                <w:color w:val="4B5563"/>
                <w:sz w:val="18"/>
              </w:rPr>
              <w:t>低</w:t>
            </w:r>
          </w:p>
        </w:tc>
        <w:tc>
          <w:tcPr>
            <w:tcW w:type="dxa" w:w="1758"/>
          </w:tcPr>
          <w:p>
            <w:pPr>
              <w:jc w:val="left"/>
            </w:pPr>
            <w:r/>
            <w:r>
              <w:rPr>
                <w:rFonts w:eastAsia="SimSun" w:ascii="Times New Roman" w:hAnsi="Times New Roman"/>
                <w:color w:val="4B5563"/>
                <w:sz w:val="18"/>
              </w:rPr>
              <w:t>工艺兼容性好</w:t>
            </w:r>
          </w:p>
        </w:tc>
        <w:tc>
          <w:tcPr>
            <w:tcW w:type="dxa" w:w="1758"/>
          </w:tcPr>
          <w:p>
            <w:pPr>
              <w:jc w:val="left"/>
            </w:pPr>
            <w:r/>
            <w:r>
              <w:rPr>
                <w:rFonts w:eastAsia="SimSun" w:ascii="Times New Roman" w:hAnsi="Times New Roman"/>
                <w:color w:val="4B5563"/>
                <w:sz w:val="18"/>
              </w:rPr>
              <w:t>室温电导率低、需加热</w:t>
            </w:r>
          </w:p>
        </w:tc>
      </w:tr>
    </w:tbl>
    <w:p>
      <w:pPr>
        <w:spacing w:line="440" w:lineRule="exact" w:before="240" w:after="120"/>
      </w:pPr>
      <w:r>
        <w:rPr>
          <w:rFonts w:ascii="Times New Roman" w:hAnsi="Times New Roman" w:eastAsia="SimHei"/>
          <w:b/>
          <w:sz w:val="24"/>
        </w:rPr>
        <w:t>3.2 产业化进度与典型案例</w:t>
      </w:r>
    </w:p>
    <w:p>
      <w:pPr>
        <w:spacing w:line="440" w:lineRule="exact" w:before="0" w:after="0"/>
        <w:ind w:firstLine="480"/>
        <w:jc w:val="both"/>
      </w:pPr>
      <w:r>
        <w:rPr>
          <w:rFonts w:ascii="Times New Roman" w:hAnsi="Times New Roman" w:eastAsia="SimSun"/>
          <w:b w:val="0"/>
          <w:sz w:val="24"/>
        </w:rPr>
        <w:t>全球头部企业均制定了明确的量产时间表。日本丰田汽车宣布计划在2027-2028年实现全固态电池装车量产，目标续航超过1 200 km，充电时间缩短至10 min以内。</w:t>
      </w:r>
    </w:p>
    <w:p>
      <w:pPr>
        <w:spacing w:line="440" w:lineRule="exact" w:before="0" w:after="0"/>
        <w:ind w:firstLine="480"/>
        <w:jc w:val="both"/>
      </w:pPr>
      <w:r>
        <w:rPr>
          <w:rFonts w:ascii="Times New Roman" w:hAnsi="Times New Roman" w:eastAsia="SimSun"/>
          <w:b w:val="0"/>
          <w:sz w:val="24"/>
        </w:rPr>
        <w:t>中国企业采取“半固态先行”策略。宁德时代的凝聚态电池已实现半固态装车应用，单体能量密度高达500 Wh/kg；卫蓝新能源已向蔚来汽车交付150 kWh半固态电池包，实测续航突破1 000 km。</w:t>
      </w:r>
    </w:p>
    <w:p>
      <w:pPr>
        <w:spacing w:line="440" w:lineRule="exact" w:before="0" w:after="0"/>
        <w:ind w:firstLine="480"/>
        <w:jc w:val="both"/>
      </w:pPr>
      <w:r>
        <w:rPr>
          <w:rFonts w:ascii="Times New Roman" w:hAnsi="Times New Roman" w:eastAsia="SimSun"/>
          <w:b w:val="0"/>
          <w:sz w:val="24"/>
        </w:rPr>
        <w:t>美国初创企业QuantumScape获得大众汽车巨额投资，其无负极锂金属固态电池正在推进车规级验证，计划2025年向车企提供样品，2026年启动小规模量产。</w:t>
      </w:r>
    </w:p>
    <w:p>
      <w:pPr>
        <w:spacing w:line="440" w:lineRule="exact" w:before="360" w:after="200"/>
      </w:pPr>
      <w:r>
        <w:rPr>
          <w:rFonts w:ascii="Times New Roman" w:hAnsi="Times New Roman" w:eastAsia="SimHei"/>
          <w:b/>
          <w:sz w:val="28"/>
        </w:rPr>
        <w:t>4 市场规模预测与竞争格局</w:t>
      </w:r>
    </w:p>
    <w:p>
      <w:pPr>
        <w:spacing w:line="440" w:lineRule="exact" w:before="0" w:after="0"/>
        <w:ind w:firstLine="480"/>
        <w:jc w:val="both"/>
      </w:pPr>
      <w:r>
        <w:rPr>
          <w:rFonts w:ascii="Times New Roman" w:hAnsi="Times New Roman" w:eastAsia="SimSun"/>
          <w:b w:val="0"/>
          <w:sz w:val="24"/>
        </w:rPr>
        <w:t>基于当前产能规划与下游需求建模分析，全球固态电池市场正处于从实验室向产业化跨越的关键期。</w:t>
      </w:r>
    </w:p>
    <w:p>
      <w:pPr>
        <w:spacing w:line="440" w:lineRule="exact" w:before="240" w:after="120"/>
      </w:pPr>
      <w:r>
        <w:rPr>
          <w:rFonts w:ascii="Times New Roman" w:hAnsi="Times New Roman" w:eastAsia="SimHei"/>
          <w:b/>
          <w:sz w:val="24"/>
        </w:rPr>
        <w:t>4.1 市场规模测算</w:t>
      </w:r>
    </w:p>
    <w:p>
      <w:pPr>
        <w:spacing w:line="440" w:lineRule="exact" w:before="0" w:after="0"/>
        <w:ind w:firstLine="480"/>
        <w:jc w:val="both"/>
      </w:pPr>
      <w:r>
        <w:rPr>
          <w:rFonts w:ascii="Times New Roman" w:hAnsi="Times New Roman" w:eastAsia="SimSun"/>
          <w:b w:val="0"/>
          <w:sz w:val="24"/>
        </w:rPr>
        <w:t>据调研数据测算，2025年全球固态电池市场规模约为15亿美元，主要来源于消费电子及高端电动汽车的小批量示范应用。随着技术成熟度提升及成本下降，预计2030年全球市场规模将突破120亿美元，2025-2030年年均复合增长率（CAGR）高达52%。</w:t>
      </w:r>
    </w:p>
    <w:p>
      <w:pPr>
        <w:spacing w:line="440" w:lineRule="exact" w:before="0" w:after="0"/>
        <w:ind w:firstLine="480"/>
        <w:jc w:val="both"/>
      </w:pPr>
      <w:r>
        <w:rPr>
          <w:rFonts w:ascii="Times New Roman" w:hAnsi="Times New Roman" w:eastAsia="SimSun"/>
          <w:b w:val="0"/>
          <w:sz w:val="24"/>
        </w:rPr>
        <w:t>如表 2 所示，2028年将是市场爆发的转折点，届时半固态电池将在中高端车型中实现规模化渗透，全固态电池开始进入小批量商用阶段。</w:t>
      </w:r>
    </w:p>
    <w:p>
      <w:pPr>
        <w:spacing w:line="440" w:lineRule="exact" w:before="120" w:after="80"/>
        <w:jc w:val="center"/>
      </w:pPr>
      <w:r>
        <w:rPr>
          <w:rFonts w:ascii="Times New Roman" w:hAnsi="Times New Roman" w:eastAsia="SimHei"/>
          <w:b/>
          <w:sz w:val="24"/>
        </w:rPr>
        <w:t>表 2  2025-2030年全球固态电池市场规模预测</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年份</w:t>
            </w:r>
          </w:p>
        </w:tc>
        <w:tc>
          <w:tcPr>
            <w:tcW w:type="dxa" w:w="2197"/>
          </w:tcPr>
          <w:p>
            <w:pPr>
              <w:jc w:val="center"/>
            </w:pPr>
            <w:r/>
            <w:r>
              <w:rPr>
                <w:rFonts w:eastAsia="SimSun" w:ascii="Times New Roman" w:hAnsi="Times New Roman"/>
                <w:b/>
                <w:color w:val="111827"/>
                <w:sz w:val="21"/>
              </w:rPr>
              <w:t>市场规模/亿美元</w:t>
            </w:r>
          </w:p>
        </w:tc>
        <w:tc>
          <w:tcPr>
            <w:tcW w:type="dxa" w:w="2197"/>
          </w:tcPr>
          <w:p>
            <w:pPr>
              <w:jc w:val="center"/>
            </w:pPr>
            <w:r/>
            <w:r>
              <w:rPr>
                <w:rFonts w:eastAsia="SimSun" w:ascii="Times New Roman" w:hAnsi="Times New Roman"/>
                <w:b/>
                <w:color w:val="111827"/>
                <w:sz w:val="21"/>
              </w:rPr>
              <w:t>同比增长率/%</w:t>
            </w:r>
          </w:p>
        </w:tc>
        <w:tc>
          <w:tcPr>
            <w:tcW w:type="dxa" w:w="2197"/>
          </w:tcPr>
          <w:p>
            <w:pPr>
              <w:jc w:val="center"/>
            </w:pPr>
            <w:r/>
            <w:r>
              <w:rPr>
                <w:rFonts w:eastAsia="SimSun" w:ascii="Times New Roman" w:hAnsi="Times New Roman"/>
                <w:b/>
                <w:color w:val="111827"/>
                <w:sz w:val="21"/>
              </w:rPr>
              <w:t>主要驱动因素</w:t>
            </w:r>
          </w:p>
        </w:tc>
      </w:tr>
      <w:tr>
        <w:tc>
          <w:tcPr>
            <w:tcW w:type="dxa" w:w="2197"/>
          </w:tcPr>
          <w:p>
            <w:pPr>
              <w:jc w:val="right"/>
            </w:pPr>
            <w:r/>
            <w:r>
              <w:rPr>
                <w:rFonts w:eastAsia="SimSun" w:ascii="Times New Roman" w:hAnsi="Times New Roman"/>
                <w:color w:val="4B5563"/>
                <w:sz w:val="18"/>
              </w:rPr>
              <w:t>2025</w:t>
            </w:r>
          </w:p>
        </w:tc>
        <w:tc>
          <w:tcPr>
            <w:tcW w:type="dxa" w:w="2197"/>
          </w:tcPr>
          <w:p>
            <w:pPr>
              <w:jc w:val="right"/>
            </w:pPr>
            <w:r/>
            <w:r>
              <w:rPr>
                <w:rFonts w:eastAsia="SimSun" w:ascii="Times New Roman" w:hAnsi="Times New Roman"/>
                <w:color w:val="4B5563"/>
                <w:sz w:val="18"/>
              </w:rPr>
              <w:t>15</w:t>
            </w:r>
          </w:p>
        </w:tc>
        <w:tc>
          <w:tcPr>
            <w:tcW w:type="dxa" w:w="2197"/>
          </w:tcPr>
          <w:p>
            <w:pPr>
              <w:jc w:val="right"/>
            </w:pPr>
            <w:r/>
            <w:r>
              <w:rPr>
                <w:rFonts w:eastAsia="SimSun" w:ascii="Times New Roman" w:hAnsi="Times New Roman"/>
                <w:color w:val="4B5563"/>
                <w:sz w:val="18"/>
              </w:rPr>
              <w:t>-</w:t>
            </w:r>
          </w:p>
        </w:tc>
        <w:tc>
          <w:tcPr>
            <w:tcW w:type="dxa" w:w="2197"/>
          </w:tcPr>
          <w:p>
            <w:pPr>
              <w:jc w:val="left"/>
            </w:pPr>
            <w:r/>
            <w:r>
              <w:rPr>
                <w:rFonts w:eastAsia="SimSun" w:ascii="Times New Roman" w:hAnsi="Times New Roman"/>
                <w:color w:val="4B5563"/>
                <w:sz w:val="18"/>
              </w:rPr>
              <w:t>示范应用、半固态起步</w:t>
            </w:r>
          </w:p>
        </w:tc>
      </w:tr>
      <w:tr>
        <w:tc>
          <w:tcPr>
            <w:tcW w:type="dxa" w:w="2197"/>
          </w:tcPr>
          <w:p>
            <w:pPr>
              <w:jc w:val="right"/>
            </w:pPr>
            <w:r/>
            <w:r>
              <w:rPr>
                <w:rFonts w:eastAsia="SimSun" w:ascii="Times New Roman" w:hAnsi="Times New Roman"/>
                <w:color w:val="4B5563"/>
                <w:sz w:val="18"/>
              </w:rPr>
              <w:t>2026</w:t>
            </w:r>
          </w:p>
        </w:tc>
        <w:tc>
          <w:tcPr>
            <w:tcW w:type="dxa" w:w="2197"/>
          </w:tcPr>
          <w:p>
            <w:pPr>
              <w:jc w:val="right"/>
            </w:pPr>
            <w:r/>
            <w:r>
              <w:rPr>
                <w:rFonts w:eastAsia="SimSun" w:ascii="Times New Roman" w:hAnsi="Times New Roman"/>
                <w:color w:val="4B5563"/>
                <w:sz w:val="18"/>
              </w:rPr>
              <w:t>28</w:t>
            </w:r>
          </w:p>
        </w:tc>
        <w:tc>
          <w:tcPr>
            <w:tcW w:type="dxa" w:w="2197"/>
          </w:tcPr>
          <w:p>
            <w:pPr>
              <w:jc w:val="right"/>
            </w:pPr>
            <w:r/>
            <w:r>
              <w:rPr>
                <w:rFonts w:eastAsia="SimSun" w:ascii="Times New Roman" w:hAnsi="Times New Roman"/>
                <w:color w:val="4B5563"/>
                <w:sz w:val="18"/>
              </w:rPr>
              <w:t>86.7</w:t>
            </w:r>
          </w:p>
        </w:tc>
        <w:tc>
          <w:tcPr>
            <w:tcW w:type="dxa" w:w="2197"/>
          </w:tcPr>
          <w:p>
            <w:pPr>
              <w:jc w:val="left"/>
            </w:pPr>
            <w:r/>
            <w:r>
              <w:rPr>
                <w:rFonts w:eastAsia="SimSun" w:ascii="Times New Roman" w:hAnsi="Times New Roman"/>
                <w:color w:val="4B5563"/>
                <w:sz w:val="18"/>
              </w:rPr>
              <w:t>半固态产能释放</w:t>
            </w:r>
          </w:p>
        </w:tc>
      </w:tr>
      <w:tr>
        <w:tc>
          <w:tcPr>
            <w:tcW w:type="dxa" w:w="2197"/>
          </w:tcPr>
          <w:p>
            <w:pPr>
              <w:jc w:val="right"/>
            </w:pPr>
            <w:r/>
            <w:r>
              <w:rPr>
                <w:rFonts w:eastAsia="SimSun" w:ascii="Times New Roman" w:hAnsi="Times New Roman"/>
                <w:color w:val="4B5563"/>
                <w:sz w:val="18"/>
              </w:rPr>
              <w:t>2027</w:t>
            </w:r>
          </w:p>
        </w:tc>
        <w:tc>
          <w:tcPr>
            <w:tcW w:type="dxa" w:w="2197"/>
          </w:tcPr>
          <w:p>
            <w:pPr>
              <w:jc w:val="right"/>
            </w:pPr>
            <w:r/>
            <w:r>
              <w:rPr>
                <w:rFonts w:eastAsia="SimSun" w:ascii="Times New Roman" w:hAnsi="Times New Roman"/>
                <w:color w:val="4B5563"/>
                <w:sz w:val="18"/>
              </w:rPr>
              <w:t>52</w:t>
            </w:r>
          </w:p>
        </w:tc>
        <w:tc>
          <w:tcPr>
            <w:tcW w:type="dxa" w:w="2197"/>
          </w:tcPr>
          <w:p>
            <w:pPr>
              <w:jc w:val="right"/>
            </w:pPr>
            <w:r/>
            <w:r>
              <w:rPr>
                <w:rFonts w:eastAsia="SimSun" w:ascii="Times New Roman" w:hAnsi="Times New Roman"/>
                <w:color w:val="4B5563"/>
                <w:sz w:val="18"/>
              </w:rPr>
              <w:t>85.7</w:t>
            </w:r>
          </w:p>
        </w:tc>
        <w:tc>
          <w:tcPr>
            <w:tcW w:type="dxa" w:w="2197"/>
          </w:tcPr>
          <w:p>
            <w:pPr>
              <w:jc w:val="left"/>
            </w:pPr>
            <w:r/>
            <w:r>
              <w:rPr>
                <w:rFonts w:eastAsia="SimSun" w:ascii="Times New Roman" w:hAnsi="Times New Roman"/>
                <w:color w:val="4B5563"/>
                <w:sz w:val="18"/>
              </w:rPr>
              <w:t>全固态小批量试产</w:t>
            </w:r>
          </w:p>
        </w:tc>
      </w:tr>
      <w:tr>
        <w:tc>
          <w:tcPr>
            <w:tcW w:type="dxa" w:w="2197"/>
          </w:tcPr>
          <w:p>
            <w:pPr>
              <w:jc w:val="right"/>
            </w:pPr>
            <w:r/>
            <w:r>
              <w:rPr>
                <w:rFonts w:eastAsia="SimSun" w:ascii="Times New Roman" w:hAnsi="Times New Roman"/>
                <w:color w:val="4B5563"/>
                <w:sz w:val="18"/>
              </w:rPr>
              <w:t>2028</w:t>
            </w:r>
          </w:p>
        </w:tc>
        <w:tc>
          <w:tcPr>
            <w:tcW w:type="dxa" w:w="2197"/>
          </w:tcPr>
          <w:p>
            <w:pPr>
              <w:jc w:val="right"/>
            </w:pPr>
            <w:r/>
            <w:r>
              <w:rPr>
                <w:rFonts w:eastAsia="SimSun" w:ascii="Times New Roman" w:hAnsi="Times New Roman"/>
                <w:color w:val="4B5563"/>
                <w:sz w:val="18"/>
              </w:rPr>
              <w:t>85</w:t>
            </w:r>
          </w:p>
        </w:tc>
        <w:tc>
          <w:tcPr>
            <w:tcW w:type="dxa" w:w="2197"/>
          </w:tcPr>
          <w:p>
            <w:pPr>
              <w:jc w:val="right"/>
            </w:pPr>
            <w:r/>
            <w:r>
              <w:rPr>
                <w:rFonts w:eastAsia="SimSun" w:ascii="Times New Roman" w:hAnsi="Times New Roman"/>
                <w:color w:val="4B5563"/>
                <w:sz w:val="18"/>
              </w:rPr>
              <w:t>63.5</w:t>
            </w:r>
          </w:p>
        </w:tc>
        <w:tc>
          <w:tcPr>
            <w:tcW w:type="dxa" w:w="2197"/>
          </w:tcPr>
          <w:p>
            <w:pPr>
              <w:jc w:val="left"/>
            </w:pPr>
            <w:r/>
            <w:r>
              <w:rPr>
                <w:rFonts w:eastAsia="SimSun" w:ascii="Times New Roman" w:hAnsi="Times New Roman"/>
                <w:color w:val="4B5563"/>
                <w:sz w:val="18"/>
              </w:rPr>
              <w:t>全固态初步商业化</w:t>
            </w:r>
          </w:p>
        </w:tc>
      </w:tr>
      <w:tr>
        <w:tc>
          <w:tcPr>
            <w:tcW w:type="dxa" w:w="2197"/>
          </w:tcPr>
          <w:p>
            <w:pPr>
              <w:jc w:val="right"/>
            </w:pPr>
            <w:r/>
            <w:r>
              <w:rPr>
                <w:rFonts w:eastAsia="SimSun" w:ascii="Times New Roman" w:hAnsi="Times New Roman"/>
                <w:color w:val="4B5563"/>
                <w:sz w:val="18"/>
              </w:rPr>
              <w:t>2029</w:t>
            </w:r>
          </w:p>
        </w:tc>
        <w:tc>
          <w:tcPr>
            <w:tcW w:type="dxa" w:w="2197"/>
          </w:tcPr>
          <w:p>
            <w:pPr>
              <w:jc w:val="right"/>
            </w:pPr>
            <w:r/>
            <w:r>
              <w:rPr>
                <w:rFonts w:eastAsia="SimSun" w:ascii="Times New Roman" w:hAnsi="Times New Roman"/>
                <w:color w:val="4B5563"/>
                <w:sz w:val="18"/>
              </w:rPr>
              <w:t>105</w:t>
            </w:r>
          </w:p>
        </w:tc>
        <w:tc>
          <w:tcPr>
            <w:tcW w:type="dxa" w:w="2197"/>
          </w:tcPr>
          <w:p>
            <w:pPr>
              <w:jc w:val="right"/>
            </w:pPr>
            <w:r/>
            <w:r>
              <w:rPr>
                <w:rFonts w:eastAsia="SimSun" w:ascii="Times New Roman" w:hAnsi="Times New Roman"/>
                <w:color w:val="4B5563"/>
                <w:sz w:val="18"/>
              </w:rPr>
              <w:t>23.5</w:t>
            </w:r>
          </w:p>
        </w:tc>
        <w:tc>
          <w:tcPr>
            <w:tcW w:type="dxa" w:w="2197"/>
          </w:tcPr>
          <w:p>
            <w:pPr>
              <w:jc w:val="left"/>
            </w:pPr>
            <w:r/>
            <w:r>
              <w:rPr>
                <w:rFonts w:eastAsia="SimSun" w:ascii="Times New Roman" w:hAnsi="Times New Roman"/>
                <w:color w:val="4B5563"/>
                <w:sz w:val="18"/>
              </w:rPr>
              <w:t>成本下降、渗透率提升</w:t>
            </w:r>
          </w:p>
        </w:tc>
      </w:tr>
      <w:tr>
        <w:tc>
          <w:tcPr>
            <w:tcW w:type="dxa" w:w="2197"/>
          </w:tcPr>
          <w:p>
            <w:pPr>
              <w:jc w:val="right"/>
            </w:pPr>
            <w:r/>
            <w:r>
              <w:rPr>
                <w:rFonts w:eastAsia="SimSun" w:ascii="Times New Roman" w:hAnsi="Times New Roman"/>
                <w:color w:val="4B5563"/>
                <w:sz w:val="18"/>
              </w:rPr>
              <w:t>2030</w:t>
            </w:r>
          </w:p>
        </w:tc>
        <w:tc>
          <w:tcPr>
            <w:tcW w:type="dxa" w:w="2197"/>
          </w:tcPr>
          <w:p>
            <w:pPr>
              <w:jc w:val="right"/>
            </w:pPr>
            <w:r/>
            <w:r>
              <w:rPr>
                <w:rFonts w:eastAsia="SimSun" w:ascii="Times New Roman" w:hAnsi="Times New Roman"/>
                <w:color w:val="4B5563"/>
                <w:sz w:val="18"/>
              </w:rPr>
              <w:t>120</w:t>
            </w:r>
          </w:p>
        </w:tc>
        <w:tc>
          <w:tcPr>
            <w:tcW w:type="dxa" w:w="2197"/>
          </w:tcPr>
          <w:p>
            <w:pPr>
              <w:jc w:val="right"/>
            </w:pPr>
            <w:r/>
            <w:r>
              <w:rPr>
                <w:rFonts w:eastAsia="SimSun" w:ascii="Times New Roman" w:hAnsi="Times New Roman"/>
                <w:color w:val="4B5563"/>
                <w:sz w:val="18"/>
              </w:rPr>
              <w:t>14.3</w:t>
            </w:r>
          </w:p>
        </w:tc>
        <w:tc>
          <w:tcPr>
            <w:tcW w:type="dxa" w:w="2197"/>
          </w:tcPr>
          <w:p>
            <w:pPr>
              <w:jc w:val="left"/>
            </w:pPr>
            <w:r/>
            <w:r>
              <w:rPr>
                <w:rFonts w:eastAsia="SimSun" w:ascii="Times New Roman" w:hAnsi="Times New Roman"/>
                <w:color w:val="4B5563"/>
                <w:sz w:val="18"/>
              </w:rPr>
              <w:t>规模化应用成熟</w:t>
            </w:r>
          </w:p>
        </w:tc>
      </w:tr>
    </w:tbl>
    <w:p>
      <w:pPr>
        <w:spacing w:line="440" w:lineRule="exact" w:before="240" w:after="120"/>
      </w:pPr>
      <w:r>
        <w:rPr>
          <w:rFonts w:ascii="Times New Roman" w:hAnsi="Times New Roman" w:eastAsia="SimHei"/>
          <w:b/>
          <w:sz w:val="24"/>
        </w:rPr>
        <w:t>4.2 区域竞争格局</w:t>
      </w:r>
    </w:p>
    <w:p>
      <w:pPr>
        <w:spacing w:line="440" w:lineRule="exact" w:before="0" w:after="0"/>
        <w:ind w:firstLine="480"/>
        <w:jc w:val="both"/>
      </w:pPr>
      <w:r>
        <w:rPr>
          <w:rFonts w:ascii="Times New Roman" w:hAnsi="Times New Roman" w:eastAsia="SimSun"/>
          <w:b w:val="0"/>
          <w:sz w:val="24"/>
        </w:rPr>
        <w:t>东亚地区在全球固态电池产业链中占据主导地位。中国凭借完善的锂电供应链和庞大的应用市场，在半固态电池产业化方面领先全球；日本在硫化物全固态电池基础专利储备上具有绝对优势；韩国三星SDI和LG新能源紧随其后，加速推进全固态电池原型开发。欧美地区则侧重于原始创新与初创企业孵化，试图通过颠覆性技术路线实现弯道超车。</w:t>
      </w:r>
    </w:p>
    <w:p>
      <w:pPr>
        <w:spacing w:line="440" w:lineRule="exact" w:before="360" w:after="200"/>
      </w:pPr>
      <w:r>
        <w:rPr>
          <w:rFonts w:ascii="Times New Roman" w:hAnsi="Times New Roman" w:eastAsia="SimHei"/>
          <w:b/>
          <w:sz w:val="28"/>
        </w:rPr>
        <w:t>5 存在的主要问题与挑战</w:t>
      </w:r>
    </w:p>
    <w:p>
      <w:pPr>
        <w:spacing w:line="440" w:lineRule="exact" w:before="0" w:after="0"/>
        <w:ind w:firstLine="480"/>
        <w:jc w:val="both"/>
      </w:pPr>
      <w:r>
        <w:rPr>
          <w:rFonts w:ascii="Times New Roman" w:hAnsi="Times New Roman" w:eastAsia="SimSun"/>
          <w:b w:val="0"/>
          <w:sz w:val="24"/>
        </w:rPr>
        <w:t>尽管前景广阔，但固态电池的大规模商业化仍面临四大核心挑战：</w:t>
      </w:r>
    </w:p>
    <w:p>
      <w:pPr>
        <w:spacing w:line="440" w:lineRule="exact" w:before="0" w:after="0"/>
        <w:ind w:firstLine="480"/>
        <w:jc w:val="both"/>
      </w:pPr>
      <w:r>
        <w:rPr>
          <w:rFonts w:ascii="Times New Roman" w:hAnsi="Times New Roman" w:eastAsia="SimSun"/>
          <w:b w:val="0"/>
          <w:sz w:val="24"/>
        </w:rPr>
        <w:t>一是材料成本高昂。目前硫化物固态电解质的制备成本约为500美元/kg，远高于液态电解液，导致电池整体成本缺乏竞争力。</w:t>
      </w:r>
    </w:p>
    <w:p>
      <w:pPr>
        <w:spacing w:line="440" w:lineRule="exact" w:before="0" w:after="0"/>
        <w:ind w:firstLine="480"/>
        <w:jc w:val="both"/>
      </w:pPr>
      <w:r>
        <w:rPr>
          <w:rFonts w:ascii="Times New Roman" w:hAnsi="Times New Roman" w:eastAsia="SimSun"/>
          <w:b w:val="0"/>
          <w:sz w:val="24"/>
        </w:rPr>
        <w:t>二是界面阻抗问题。固-固界面接触不良导致电荷传输受阻，严重影响电池的倍率性能和低温性能，尤其在快充场景下表现不佳。</w:t>
      </w:r>
    </w:p>
    <w:p>
      <w:pPr>
        <w:spacing w:line="440" w:lineRule="exact" w:before="0" w:after="0"/>
        <w:ind w:firstLine="480"/>
        <w:jc w:val="both"/>
      </w:pPr>
      <w:r>
        <w:rPr>
          <w:rFonts w:ascii="Times New Roman" w:hAnsi="Times New Roman" w:eastAsia="SimSun"/>
          <w:b w:val="0"/>
          <w:sz w:val="24"/>
        </w:rPr>
        <w:t>三是制造工艺不成熟。缺乏适应固态电解质特性的卷对卷（Roll-to-Roll）连续化生产工艺，现有设备改造难度大，良品率较低。</w:t>
      </w:r>
    </w:p>
    <w:p>
      <w:pPr>
        <w:spacing w:line="440" w:lineRule="exact" w:before="0" w:after="0"/>
        <w:ind w:firstLine="480"/>
        <w:jc w:val="both"/>
      </w:pPr>
      <w:r>
        <w:rPr>
          <w:rFonts w:ascii="Times New Roman" w:hAnsi="Times New Roman" w:eastAsia="SimSun"/>
          <w:b w:val="0"/>
          <w:sz w:val="24"/>
        </w:rPr>
        <w:t>四是锂金属负极枝晶问题。虽然固态电解质理论上能抑制枝晶，但在长期循环和高压力下，锂枝晶仍可能穿透电解质层引发短路，安全性隐患未完全消除。</w:t>
      </w:r>
    </w:p>
    <w:p>
      <w:pPr>
        <w:spacing w:line="440" w:lineRule="exact" w:before="360" w:after="200"/>
      </w:pPr>
      <w:r>
        <w:rPr>
          <w:rFonts w:ascii="Times New Roman" w:hAnsi="Times New Roman" w:eastAsia="SimHei"/>
          <w:b/>
          <w:sz w:val="28"/>
        </w:rPr>
        <w:t>6 对策建议的依据</w:t>
      </w:r>
    </w:p>
    <w:p>
      <w:pPr>
        <w:spacing w:line="440" w:lineRule="exact" w:before="0" w:after="0"/>
        <w:ind w:firstLine="480"/>
        <w:jc w:val="both"/>
      </w:pPr>
      <w:r>
        <w:rPr>
          <w:rFonts w:ascii="Times New Roman" w:hAnsi="Times New Roman" w:eastAsia="SimSun"/>
          <w:b w:val="0"/>
          <w:sz w:val="24"/>
        </w:rPr>
        <w:t>基于上述问题分析，本报告提出以下发展路径建议的依据：</w:t>
      </w:r>
    </w:p>
    <w:p>
      <w:pPr>
        <w:spacing w:line="440" w:lineRule="exact" w:before="0" w:after="0"/>
        <w:ind w:firstLine="480"/>
        <w:jc w:val="both"/>
      </w:pPr>
      <w:r>
        <w:rPr>
          <w:rFonts w:ascii="Times New Roman" w:hAnsi="Times New Roman" w:eastAsia="SimSun"/>
          <w:b w:val="0"/>
          <w:sz w:val="24"/>
        </w:rPr>
        <w:t>首先，鉴于全固态电池短期内难以解决成本和工艺难题，采用“液态+固态”混合电解质的半固态路线是当前平衡性能、安全与成本的最优解，可作为2026-2028年的主流过渡方案。</w:t>
      </w:r>
    </w:p>
    <w:p>
      <w:pPr>
        <w:spacing w:line="440" w:lineRule="exact" w:before="0" w:after="0"/>
        <w:ind w:firstLine="480"/>
        <w:jc w:val="both"/>
      </w:pPr>
      <w:r>
        <w:rPr>
          <w:rFonts w:ascii="Times New Roman" w:hAnsi="Times New Roman" w:eastAsia="SimSun"/>
          <w:b w:val="0"/>
          <w:sz w:val="24"/>
        </w:rPr>
        <w:t>其次，原材料成本是制约产业化的关键，必须通过技术创新实现固态电解质材料的国产化替代，打破上游垄断，降低原材料采购成本。</w:t>
      </w:r>
    </w:p>
    <w:p>
      <w:pPr>
        <w:spacing w:line="440" w:lineRule="exact" w:before="0" w:after="0"/>
        <w:ind w:firstLine="480"/>
        <w:jc w:val="both"/>
      </w:pPr>
      <w:r>
        <w:rPr>
          <w:rFonts w:ascii="Times New Roman" w:hAnsi="Times New Roman" w:eastAsia="SimSun"/>
          <w:b w:val="0"/>
          <w:sz w:val="24"/>
        </w:rPr>
        <w:t>最后，行业标准缺失导致产品评价体系混乱，亟需建立统一的固态电池测试评价标准体系，规范安全性、循环寿命及界面稳定性的测试方法，以促进市场良性竞争。</w:t>
      </w:r>
    </w:p>
    <w:p>
      <w:pPr>
        <w:spacing w:line="440" w:lineRule="exact" w:before="360" w:after="200"/>
      </w:pPr>
      <w:r>
        <w:rPr>
          <w:rFonts w:ascii="Times New Roman" w:hAnsi="Times New Roman" w:eastAsia="SimHei"/>
          <w:b/>
          <w:sz w:val="28"/>
        </w:rPr>
        <w:t>结论与建议</w:t>
      </w:r>
    </w:p>
    <w:p>
      <w:pPr>
        <w:spacing w:line="440" w:lineRule="exact" w:before="0" w:after="0"/>
        <w:ind w:firstLine="480"/>
        <w:jc w:val="both"/>
      </w:pPr>
      <w:r>
        <w:rPr>
          <w:rFonts w:ascii="Times New Roman" w:hAnsi="Times New Roman" w:eastAsia="SimSun"/>
          <w:b w:val="0"/>
          <w:sz w:val="24"/>
        </w:rPr>
        <w:t>（1）固态电池是突破液态锂电池能量密度极限的关键方向，其中氧化物、硫化物、聚合物三大路线各有优劣，短期内呈现多路线并行发展态势。</w:t>
      </w:r>
    </w:p>
    <w:p>
      <w:pPr>
        <w:spacing w:line="440" w:lineRule="exact" w:before="0" w:after="0"/>
        <w:ind w:firstLine="480"/>
        <w:jc w:val="both"/>
      </w:pPr>
      <w:r>
        <w:rPr>
          <w:rFonts w:ascii="Times New Roman" w:hAnsi="Times New Roman" w:eastAsia="SimSun"/>
          <w:b w:val="0"/>
          <w:sz w:val="24"/>
        </w:rPr>
        <w:t>（2）产业化进程加速，2025-2030年是全球固态电池从示范应用走向规模化商用的关键窗口期，预计2030年市场规模将突破120亿美元。</w:t>
      </w:r>
    </w:p>
    <w:p>
      <w:pPr>
        <w:spacing w:line="440" w:lineRule="exact" w:before="0" w:after="0"/>
        <w:ind w:firstLine="480"/>
        <w:jc w:val="both"/>
      </w:pPr>
      <w:r>
        <w:rPr>
          <w:rFonts w:ascii="Times New Roman" w:hAnsi="Times New Roman" w:eastAsia="SimSun"/>
          <w:b w:val="0"/>
          <w:sz w:val="24"/>
        </w:rPr>
        <w:t>（3）中国在半固态电池产业化方面处于领先地位，日本在硫化物全固态专利储备上占优，欧美侧重原始创新。</w:t>
      </w:r>
    </w:p>
    <w:p>
      <w:pPr>
        <w:spacing w:line="440" w:lineRule="exact" w:before="0" w:after="0"/>
        <w:ind w:firstLine="480"/>
        <w:jc w:val="both"/>
      </w:pPr>
      <w:r>
        <w:rPr>
          <w:rFonts w:ascii="Times New Roman" w:hAnsi="Times New Roman" w:eastAsia="SimSun"/>
          <w:b w:val="0"/>
          <w:sz w:val="24"/>
        </w:rPr>
        <w:t>（4）高成本、界面阻抗、工艺不成熟及锂枝晶问题是当前制约固态电池大规模应用的四大核心瓶颈。</w:t>
      </w:r>
    </w:p>
    <w:p>
      <w:pPr>
        <w:spacing w:line="440" w:lineRule="exact" w:before="240" w:after="120"/>
      </w:pPr>
      <w:r>
        <w:rPr>
          <w:rFonts w:ascii="Times New Roman" w:hAnsi="Times New Roman" w:eastAsia="SimHei"/>
          <w:b/>
          <w:sz w:val="24"/>
        </w:rPr>
        <w:t>建议</w:t>
      </w:r>
    </w:p>
    <w:p>
      <w:pPr>
        <w:spacing w:line="440" w:lineRule="exact" w:before="0" w:after="0"/>
        <w:ind w:firstLine="480"/>
        <w:jc w:val="both"/>
      </w:pPr>
      <w:r>
        <w:rPr>
          <w:rFonts w:ascii="Times New Roman" w:hAnsi="Times New Roman" w:eastAsia="SimSun"/>
          <w:b w:val="0"/>
          <w:sz w:val="24"/>
        </w:rPr>
        <w:t>1. 短期（2026-2028年）聚焦半固态过渡路线，推广“液态+固态”混合电解质方案，快速实现商业化落地并积累运行数据</w:t>
      </w:r>
    </w:p>
    <w:p>
      <w:pPr>
        <w:spacing w:line="440" w:lineRule="exact" w:before="0" w:after="0"/>
        <w:ind w:firstLine="480"/>
        <w:jc w:val="both"/>
      </w:pPr>
      <w:r>
        <w:rPr>
          <w:rFonts w:ascii="Times New Roman" w:hAnsi="Times New Roman" w:eastAsia="SimSun"/>
          <w:b w:val="0"/>
          <w:sz w:val="24"/>
        </w:rPr>
        <w:t>2. 加强固态电解质关键材料（如硫化物前驱体、氧化物粉体）的国产替代研发，通过规模化生产降低原材料成本</w:t>
      </w:r>
    </w:p>
    <w:p>
      <w:pPr>
        <w:spacing w:line="440" w:lineRule="exact" w:before="0" w:after="0"/>
        <w:ind w:firstLine="480"/>
        <w:jc w:val="both"/>
      </w:pPr>
      <w:r>
        <w:rPr>
          <w:rFonts w:ascii="Times New Roman" w:hAnsi="Times New Roman" w:eastAsia="SimSun"/>
          <w:b w:val="0"/>
          <w:sz w:val="24"/>
        </w:rPr>
        <w:t>3. 联合行业协会与头部企业，尽快建立固态电池测试评价国家标准体系，规范界面阻抗、枝晶抑制等关键指标的测试方法</w:t>
      </w:r>
    </w:p>
    <w:p>
      <w:pPr>
        <w:spacing w:line="440" w:lineRule="exact" w:before="0" w:after="0"/>
        <w:ind w:firstLine="480"/>
        <w:jc w:val="both"/>
      </w:pPr>
      <w:r>
        <w:rPr>
          <w:rFonts w:ascii="Times New Roman" w:hAnsi="Times New Roman" w:eastAsia="SimSun"/>
          <w:b w:val="0"/>
          <w:sz w:val="24"/>
        </w:rPr>
        <w:t>4. 加大对干法电极、等静压成型等适配固态电池的新型制造工艺的研发投入，提升生产良率与效率</w:t>
      </w:r>
    </w:p>
    <w:p>
      <w:pPr>
        <w:spacing w:line="440" w:lineRule="exact" w:before="360" w:after="200"/>
      </w:pPr>
      <w:r>
        <w:rPr>
          <w:rFonts w:ascii="Times New Roman" w:hAnsi="Times New Roman" w:eastAsia="SimHei"/>
          <w:b/>
          <w:sz w:val="28"/>
        </w:rPr>
        <w:t>参考文献</w:t>
      </w:r>
    </w:p>
    <w:p>
      <w:pPr>
        <w:spacing w:line="360" w:lineRule="exact" w:before="0" w:after="40"/>
      </w:pPr>
      <w:r>
        <w:rPr>
          <w:rFonts w:ascii="Times New Roman" w:hAnsi="Times New Roman" w:eastAsia="SimSun"/>
          <w:b w:val="0"/>
          <w:sz w:val="21"/>
        </w:rPr>
        <w:t>[1] Goodenough J B, Park K S. The Li-ion rechargeable battery: a perspective[J]. Journal of the American Chemical Society, 2013, 135(4): 1167-1176.</w:t>
      </w:r>
    </w:p>
    <w:p>
      <w:pPr>
        <w:spacing w:line="360" w:lineRule="exact" w:before="0" w:after="40"/>
      </w:pPr>
      <w:r>
        <w:rPr>
          <w:rFonts w:ascii="Times New Roman" w:hAnsi="Times New Roman" w:eastAsia="SimSun"/>
          <w:b w:val="0"/>
          <w:sz w:val="21"/>
        </w:rPr>
        <w:t>[2] Janek J, Zeier W G. A solid future for battery development[J]. Nature Energy, 2016, 1: 16141.</w:t>
      </w:r>
    </w:p>
    <w:p>
      <w:pPr>
        <w:spacing w:line="360" w:lineRule="exact" w:before="0" w:after="40"/>
      </w:pPr>
      <w:r>
        <w:rPr>
          <w:rFonts w:ascii="Times New Roman" w:hAnsi="Times New Roman" w:eastAsia="SimSun"/>
          <w:b w:val="0"/>
          <w:sz w:val="21"/>
        </w:rPr>
        <w:t>[3] 宁德时代新能源科技股份有限公司. 宁德时代凝聚态电池发布会技术白皮书[R]. 福建: 宁德时代, 2023.</w:t>
      </w:r>
    </w:p>
    <w:p>
      <w:pPr>
        <w:spacing w:line="360" w:lineRule="exact" w:before="0" w:after="40"/>
      </w:pPr>
      <w:r>
        <w:rPr>
          <w:rFonts w:ascii="Times New Roman" w:hAnsi="Times New Roman" w:eastAsia="SimSun"/>
          <w:b w:val="0"/>
          <w:sz w:val="21"/>
        </w:rPr>
        <w:t>[4] Toyota Motor Corporation. Solid-state battery development status and future prospects[R]. Japan: Toyota City, 2024.</w:t>
      </w:r>
    </w:p>
    <w:p>
      <w:pPr>
        <w:spacing w:line="360" w:lineRule="exact" w:before="0" w:after="40"/>
      </w:pPr>
      <w:r>
        <w:rPr>
          <w:rFonts w:ascii="Times New Roman" w:hAnsi="Times New Roman" w:eastAsia="SimSun"/>
          <w:b w:val="0"/>
          <w:sz w:val="21"/>
        </w:rPr>
        <w:t>[5] GB/T 40032-2021 电动汽车换电安全要求[S]. 北京: 中国标准出版社, 2021.</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