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1200"/>
      </w:pPr>
    </w:p>
    <w:p>
      <w:pPr>
        <w:spacing w:line="440" w:lineRule="exact" w:before="0" w:after="480"/>
        <w:jc w:val="center"/>
      </w:pPr>
      <w:r>
        <w:rPr>
          <w:rFonts w:ascii="Times New Roman" w:hAnsi="Times New Roman" w:eastAsia="SimHei"/>
          <w:b/>
          <w:sz w:val="28"/>
        </w:rPr>
        <w:t>中国科学院上海微系统与信息技术研究所</w:t>
      </w:r>
    </w:p>
    <w:p>
      <w:pPr>
        <w:spacing w:line="440" w:lineRule="exact" w:before="0" w:after="480"/>
        <w:jc w:val="center"/>
      </w:pPr>
      <w:r>
        <w:rPr>
          <w:rFonts w:ascii="Times New Roman" w:hAnsi="Times New Roman" w:eastAsia="SimHei"/>
          <w:b/>
          <w:sz w:val="44"/>
        </w:rPr>
        <w:t>研 究 报 告</w:t>
      </w:r>
    </w:p>
    <w:p>
      <w:pPr>
        <w:spacing w:line="440" w:lineRule="exact" w:before="0" w:after="720"/>
        <w:jc w:val="center"/>
      </w:pPr>
      <w:r>
        <w:rPr>
          <w:rFonts w:ascii="Times New Roman" w:hAnsi="Times New Roman" w:eastAsia="SimHei"/>
          <w:b/>
          <w:sz w:val="32"/>
        </w:rPr>
        <w:t>新型钙钛矿-硅叠层太阳能电池效率与稳定性研究</w:t>
      </w:r>
    </w:p>
    <w:p>
      <w:pPr>
        <w:spacing w:line="440" w:lineRule="exact" w:before="0" w:after="120"/>
        <w:jc w:val="center"/>
      </w:pPr>
      <w:r>
        <w:rPr>
          <w:rFonts w:ascii="Times New Roman" w:hAnsi="Times New Roman" w:eastAsia="SimSun"/>
          <w:b w:val="0"/>
          <w:sz w:val="24"/>
        </w:rPr>
        <w:t>刘文博　中国科学院上海微系统与信息技术研究所</w:t>
      </w:r>
    </w:p>
    <w:p>
      <w:pPr>
        <w:spacing w:line="440" w:lineRule="exact" w:before="360" w:after="160"/>
        <w:jc w:val="center"/>
      </w:pPr>
      <w:r>
        <w:rPr>
          <w:rFonts w:ascii="Times New Roman" w:hAnsi="Times New Roman" w:eastAsia="SimSun"/>
          <w:b w:val="0"/>
          <w:sz w:val="24"/>
        </w:rPr>
        <w:t>报告编号：CAS-SIMIT-2026-0118</w:t>
      </w:r>
    </w:p>
    <w:p>
      <w:pPr>
        <w:spacing w:line="440" w:lineRule="exact" w:before="0" w:after="160"/>
        <w:jc w:val="center"/>
      </w:pPr>
      <w:r>
        <w:rPr>
          <w:rFonts w:ascii="Times New Roman" w:hAnsi="Times New Roman" w:eastAsia="SimSun"/>
          <w:b w:val="0"/>
          <w:sz w:val="24"/>
        </w:rPr>
        <w:t>密级：公开</w:t>
      </w:r>
    </w:p>
    <w:p>
      <w:pPr>
        <w:spacing w:line="440" w:lineRule="exact" w:before="0" w:after="160"/>
        <w:jc w:val="center"/>
      </w:pPr>
      <w:r>
        <w:rPr>
          <w:rFonts w:ascii="Times New Roman" w:hAnsi="Times New Roman" w:eastAsia="SimSun"/>
          <w:b w:val="0"/>
          <w:sz w:val="24"/>
        </w:rPr>
        <w:t>2026年5月</w:t>
      </w:r>
    </w:p>
    <w:p>
      <w:r>
        <w:br w:type="page"/>
      </w:r>
    </w:p>
    <w:p>
      <w:pPr>
        <w:spacing w:line="440" w:lineRule="exact" w:before="240" w:after="240"/>
        <w:jc w:val="center"/>
      </w:pPr>
      <w:r>
        <w:rPr>
          <w:rFonts w:ascii="Times New Roman" w:hAnsi="Times New Roman" w:eastAsia="SimHei"/>
          <w:b/>
          <w:sz w:val="28"/>
        </w:rPr>
        <w:t>摘  要</w:t>
      </w:r>
    </w:p>
    <w:p>
      <w:pPr>
        <w:spacing w:line="440" w:lineRule="exact" w:before="0" w:after="0"/>
        <w:ind w:firstLine="480"/>
        <w:jc w:val="both"/>
      </w:pPr>
      <w:r>
        <w:rPr>
          <w:rFonts w:ascii="Times New Roman" w:hAnsi="Times New Roman" w:eastAsia="SimSun"/>
          <w:b w:val="0"/>
          <w:sz w:val="24"/>
        </w:rPr>
        <w:t>本研究旨在解决宽带隙钙钛矿/硅叠层太阳能电池在保持高光电转换效率的同时提升长期环境稳定性的难题。采用溶液法制备带隙为1.68 eV的钙钛矿顶电池，结合异质结（HJT）硅底电池构建两端叠层器件，重点探究界面钝化层对载流子复合及器件稳定性的影响机制。通过J-V特性、外量子效率（EQE）及SEM/XPS微观表征分析器件性能，并进行85 °C/85%相对湿度加速老化测试。结果表明：优化后的叠层电池初始光电转换效率达28.5%，填充因子为81.2%；经2000小时双85老化测试后，效率保持率为92%，推算T80寿命超过25年。界面钝化有效抑制了非辐射复合，封装协同方案显著阻隔了水氧侵蚀。结论认为界面工程与先进封装技术的结合是实现高效长寿命叠层电池的关键。建议后续开展更大面积组件的均匀性制备工艺研究及户外实证测试。</w:t>
      </w:r>
    </w:p>
    <w:p>
      <w:pPr>
        <w:spacing w:line="440" w:lineRule="exact" w:before="240" w:after="240"/>
      </w:pPr>
      <w:r>
        <w:rPr>
          <w:rFonts w:ascii="Times New Roman" w:hAnsi="Times New Roman" w:eastAsia="SimSun"/>
          <w:b w:val="0"/>
          <w:sz w:val="24"/>
        </w:rPr>
        <w:t>关键词：钙钛矿-硅叠层电池；光电转换效率；界面钝化；长期稳定性；加速老化测试</w:t>
      </w:r>
    </w:p>
    <w:p>
      <w:r>
        <w:br w:type="page"/>
      </w:r>
    </w:p>
    <w:p>
      <w:pPr>
        <w:spacing w:line="440" w:lineRule="exact" w:before="360" w:after="200"/>
      </w:pPr>
      <w:r>
        <w:rPr>
          <w:rFonts w:ascii="Times New Roman" w:hAnsi="Times New Roman" w:eastAsia="SimHei"/>
          <w:b/>
          <w:sz w:val="28"/>
        </w:rPr>
        <w:t>1 引言</w:t>
      </w:r>
    </w:p>
    <w:p>
      <w:pPr>
        <w:spacing w:line="440" w:lineRule="exact" w:before="0" w:after="0"/>
        <w:ind w:firstLine="480"/>
        <w:jc w:val="both"/>
      </w:pPr>
      <w:r>
        <w:rPr>
          <w:rFonts w:ascii="Times New Roman" w:hAnsi="Times New Roman" w:eastAsia="SimSun"/>
          <w:b w:val="0"/>
          <w:sz w:val="24"/>
        </w:rPr>
        <w:t>随着全球能源转型的推进，光伏技术向更高转换效率发展已成为必然趋势。单结晶硅太阳能电池的理论效率极限（Shockley-Queisser极限）约为29.4%，目前量产效率已接近其物理瓶颈。钙钛矿-硅叠层太阳能电池利用钙钛矿材料带隙可调的优势，通过宽带隙钙钛矿顶电池吸收短波长光子，窄带隙硅底电池吸收长波长光子，理论上可将转换效率提升至40%以上。</w:t>
      </w:r>
    </w:p>
    <w:p>
      <w:pPr>
        <w:spacing w:line="440" w:lineRule="exact" w:before="0" w:after="0"/>
        <w:ind w:firstLine="480"/>
        <w:jc w:val="both"/>
      </w:pPr>
      <w:r>
        <w:rPr>
          <w:rFonts w:ascii="Times New Roman" w:hAnsi="Times New Roman" w:eastAsia="SimSun"/>
          <w:b w:val="0"/>
          <w:sz w:val="24"/>
        </w:rPr>
        <w:t>近年来，实验室级别的钙钛矿-硅叠层电池效率已突破30%，展现出巨大的应用潜力。然而，钙钛矿材料对湿度、热量和紫外线敏感，导致器件长期稳定性不足，成为制约其商业化的主要障碍。特别是在高温高湿环境下，界面处的离子迁移和水氧侵入会加速性能衰减。</w:t>
      </w:r>
    </w:p>
    <w:p>
      <w:pPr>
        <w:spacing w:line="440" w:lineRule="exact" w:before="0" w:after="0"/>
        <w:ind w:firstLine="480"/>
        <w:jc w:val="both"/>
      </w:pPr>
      <w:r>
        <w:rPr>
          <w:rFonts w:ascii="Times New Roman" w:hAnsi="Times New Roman" w:eastAsia="SimSun"/>
          <w:b w:val="0"/>
          <w:sz w:val="24"/>
        </w:rPr>
        <w:t>本研究致力于制备高效且稳定的钙钛矿-硅叠层电池。通过优化宽带隙钙钛矿组分与界面钝化层设计，降低界面载流子复合损失；结合异质结（HJT）硅底电池的低温度系数优势，系统评估器件的光电性能与环境稳定性，为叠层电池的产业化应用提供理论依据与技术支撑。</w:t>
      </w:r>
    </w:p>
    <w:p>
      <w:pPr>
        <w:spacing w:line="440" w:lineRule="exact" w:before="360" w:after="200"/>
      </w:pPr>
      <w:r>
        <w:rPr>
          <w:rFonts w:ascii="Times New Roman" w:hAnsi="Times New Roman" w:eastAsia="SimHei"/>
          <w:b/>
          <w:sz w:val="28"/>
        </w:rPr>
        <w:t>2 实验方法</w:t>
      </w:r>
    </w:p>
    <w:p>
      <w:pPr>
        <w:spacing w:line="440" w:lineRule="exact" w:before="0" w:after="0"/>
        <w:ind w:firstLine="480"/>
        <w:jc w:val="both"/>
      </w:pPr>
      <w:r>
        <w:rPr>
          <w:rFonts w:ascii="Times New Roman" w:hAnsi="Times New Roman" w:eastAsia="SimSun"/>
          <w:b w:val="0"/>
          <w:sz w:val="24"/>
        </w:rPr>
        <w:t>本章详细阐述叠层电池的制备工艺、表征手段及可靠性测试方案。</w:t>
      </w:r>
    </w:p>
    <w:p>
      <w:pPr>
        <w:spacing w:line="440" w:lineRule="exact" w:before="240" w:after="120"/>
      </w:pPr>
      <w:r>
        <w:rPr>
          <w:rFonts w:ascii="Times New Roman" w:hAnsi="Times New Roman" w:eastAsia="SimHei"/>
          <w:b/>
          <w:sz w:val="24"/>
        </w:rPr>
        <w:t>2.1 器件制备工艺</w:t>
      </w:r>
    </w:p>
    <w:p>
      <w:pPr>
        <w:spacing w:line="440" w:lineRule="exact" w:before="0" w:after="0"/>
        <w:ind w:firstLine="480"/>
        <w:jc w:val="both"/>
      </w:pPr>
      <w:r>
        <w:rPr>
          <w:rFonts w:ascii="Times New Roman" w:hAnsi="Times New Roman" w:eastAsia="SimSun"/>
          <w:b w:val="0"/>
          <w:sz w:val="24"/>
        </w:rPr>
        <w:t>底电池采用工业级n型HJT硅片，表面织构化处理以增强光捕获能力。顶电池钙钛矿前驱体溶液由碘化铅（PbI₂）、碘化甲脒（FAI）、溴化铅（PbBr₂）及氯化铯（CsCl）按化学计量比溶解于DMF/DMSO混合溶剂中，调控Br含量使带隙稳定在1.68 eV。</w:t>
      </w:r>
    </w:p>
    <w:p>
      <w:pPr>
        <w:spacing w:line="440" w:lineRule="exact" w:before="0" w:after="0"/>
        <w:ind w:firstLine="480"/>
        <w:jc w:val="both"/>
      </w:pPr>
      <w:r>
        <w:rPr>
          <w:rFonts w:ascii="Times New Roman" w:hAnsi="Times New Roman" w:eastAsia="SimSun"/>
          <w:b w:val="0"/>
          <w:sz w:val="24"/>
        </w:rPr>
        <w:t>采用反溶剂气相辅助结晶法制备钙钛矿薄膜，随后旋涂自组装单分子层（SAM）作为空穴传输层，并蒸镀氧化铟锡（ITO）作为透明电极。关键步骤在于引入超薄氧化铝（Al₂O₃）界面钝化层，位于钙钛矿层与电子传输层之间，以抑制界面缺陷态密度。最后通过磁控溅射制备银网格电极，完成两端叠层器件封装。</w:t>
      </w:r>
    </w:p>
    <w:p>
      <w:pPr>
        <w:spacing w:line="440" w:lineRule="exact" w:before="240" w:after="120"/>
      </w:pPr>
      <w:r>
        <w:rPr>
          <w:rFonts w:ascii="Times New Roman" w:hAnsi="Times New Roman" w:eastAsia="SimHei"/>
          <w:b/>
          <w:sz w:val="24"/>
        </w:rPr>
        <w:t>2.2 表征与测试方案</w:t>
      </w:r>
    </w:p>
    <w:p>
      <w:pPr>
        <w:spacing w:line="440" w:lineRule="exact" w:before="0" w:after="0"/>
        <w:ind w:firstLine="480"/>
        <w:jc w:val="both"/>
      </w:pPr>
      <w:r>
        <w:rPr>
          <w:rFonts w:ascii="Times New Roman" w:hAnsi="Times New Roman" w:eastAsia="SimSun"/>
          <w:b w:val="0"/>
          <w:sz w:val="24"/>
        </w:rPr>
        <w:t>光电性能测试使用AAA级太阳模拟器（AM 1.5G，100 mW/cm²），配合标准硅参考电池校准光强。J-V曲线扫描速度为0.1 V/s，步长10 mV。外量子效率（EQE）光谱响应测试范围为300~1200 nm，使用单色仪分光，频率调制为300 Hz。</w:t>
      </w:r>
    </w:p>
    <w:p>
      <w:pPr>
        <w:spacing w:line="440" w:lineRule="exact" w:before="0" w:after="0"/>
        <w:ind w:firstLine="480"/>
        <w:jc w:val="both"/>
      </w:pPr>
      <w:r>
        <w:rPr>
          <w:rFonts w:ascii="Times New Roman" w:hAnsi="Times New Roman" w:eastAsia="SimSun"/>
          <w:b w:val="0"/>
          <w:sz w:val="24"/>
        </w:rPr>
        <w:t>微观结构表征采用场发射扫描电子显微镜（SEM）观察截面形貌，透射电子显微镜（TEM）分析界面晶格结构，X射线光电子能谱（XPS）分析元素价态及界面化学键合情况。</w:t>
      </w:r>
    </w:p>
    <w:p>
      <w:pPr>
        <w:spacing w:line="440" w:lineRule="exact" w:before="0" w:after="0"/>
        <w:ind w:firstLine="480"/>
        <w:jc w:val="both"/>
      </w:pPr>
      <w:r>
        <w:rPr>
          <w:rFonts w:ascii="Times New Roman" w:hAnsi="Times New Roman" w:eastAsia="SimSun"/>
          <w:b w:val="0"/>
          <w:sz w:val="24"/>
        </w:rPr>
        <w:t>可靠性测试依据IEC 61215标准进行。双85加速老化测试条件为85 °C、85%相对湿度，持续2000小时；热循环测试范围为-40 °C至85 °C，共200次循环。每间隔一定时间取出样品进行J-V测试，记录效率衰减数据。</w:t>
      </w:r>
    </w:p>
    <w:p>
      <w:pPr>
        <w:spacing w:line="440" w:lineRule="exact" w:before="360" w:after="200"/>
      </w:pPr>
      <w:r>
        <w:rPr>
          <w:rFonts w:ascii="Times New Roman" w:hAnsi="Times New Roman" w:eastAsia="SimHei"/>
          <w:b/>
          <w:sz w:val="28"/>
        </w:rPr>
        <w:t>3 结果与讨论</w:t>
      </w:r>
    </w:p>
    <w:p>
      <w:pPr>
        <w:spacing w:line="440" w:lineRule="exact" w:before="0" w:after="0"/>
        <w:ind w:firstLine="480"/>
        <w:jc w:val="both"/>
      </w:pPr>
      <w:r>
        <w:rPr>
          <w:rFonts w:ascii="Times New Roman" w:hAnsi="Times New Roman" w:eastAsia="SimSun"/>
          <w:b w:val="0"/>
          <w:sz w:val="24"/>
        </w:rPr>
        <w:t>本章对制备的叠层电池进行光电性能评估，并结合微观表征结果分析界面钝化机制及老化衰减机理。</w:t>
      </w:r>
    </w:p>
    <w:p>
      <w:pPr>
        <w:spacing w:line="440" w:lineRule="exact" w:before="240" w:after="120"/>
      </w:pPr>
      <w:r>
        <w:rPr>
          <w:rFonts w:ascii="Times New Roman" w:hAnsi="Times New Roman" w:eastAsia="SimHei"/>
          <w:b/>
          <w:sz w:val="24"/>
        </w:rPr>
        <w:t>3.1 光电转换性能分析</w:t>
      </w:r>
    </w:p>
    <w:p>
      <w:pPr>
        <w:spacing w:line="440" w:lineRule="exact" w:before="0" w:after="0"/>
        <w:ind w:firstLine="480"/>
        <w:jc w:val="both"/>
      </w:pPr>
      <w:r>
        <w:rPr>
          <w:rFonts w:ascii="Times New Roman" w:hAnsi="Times New Roman" w:eastAsia="SimSun"/>
          <w:b w:val="0"/>
          <w:sz w:val="24"/>
        </w:rPr>
        <w:t>优化后的钙钛矿-硅叠层电池最佳光电转换效率（PCE）达到28.5%。如表 1 所示，器件的开路电压（Voc）为1.92 V，短路电流密度（Jsc）为18.8 mA/cm²，填充因子（FF）为81.2%。与未引入界面钝化层的对照组相比，Voc提升了45 mV，FF提升了3.5个百分点，表明界面钝化有效降低了非辐射复合损失，改善了电荷提取效率。</w:t>
      </w:r>
    </w:p>
    <w:p>
      <w:pPr>
        <w:spacing w:line="440" w:lineRule="exact" w:before="0" w:after="0"/>
        <w:ind w:firstLine="480"/>
        <w:jc w:val="both"/>
      </w:pPr>
      <w:r>
        <w:rPr>
          <w:rFonts w:ascii="Times New Roman" w:hAnsi="Times New Roman" w:eastAsia="SimSun"/>
          <w:b w:val="0"/>
          <w:sz w:val="24"/>
        </w:rPr>
        <w:t>EQE测试结果显示，顶电池在300~800 nm波段响应良好，积分电流密度为18.9 mA/cm²；底电池在800~1200 nm波段响应匹配，积分电流密度为18.7 mA/cm²。两者电流匹配度误差小于1%，说明光谱分割设计合理，电流失配损失极小。</w:t>
      </w:r>
    </w:p>
    <w:p>
      <w:pPr>
        <w:spacing w:line="440" w:lineRule="exact" w:before="120" w:after="80"/>
        <w:jc w:val="center"/>
      </w:pPr>
      <w:r>
        <w:rPr>
          <w:rFonts w:ascii="Times New Roman" w:hAnsi="Times New Roman" w:eastAsia="SimHei"/>
          <w:b/>
          <w:sz w:val="24"/>
        </w:rPr>
        <w:t>表 1  叠层电池光电性能参数对比</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1758"/>
        <w:gridCol w:w="1758"/>
        <w:gridCol w:w="1758"/>
        <w:gridCol w:w="1758"/>
        <w:gridCol w:w="1758"/>
      </w:tblGrid>
      <w:tr>
        <w:tc>
          <w:tcPr>
            <w:tcW w:type="dxa" w:w="1758"/>
          </w:tcPr>
          <w:p>
            <w:pPr>
              <w:jc w:val="center"/>
            </w:pPr>
            <w:r/>
            <w:r>
              <w:rPr>
                <w:rFonts w:eastAsia="SimSun" w:ascii="Times New Roman" w:hAnsi="Times New Roman"/>
                <w:b/>
                <w:color w:val="111827"/>
                <w:sz w:val="21"/>
              </w:rPr>
              <w:t>样品类型</w:t>
            </w:r>
          </w:p>
        </w:tc>
        <w:tc>
          <w:tcPr>
            <w:tcW w:type="dxa" w:w="1758"/>
          </w:tcPr>
          <w:p>
            <w:pPr>
              <w:jc w:val="center"/>
            </w:pPr>
            <w:r/>
            <w:r>
              <w:rPr>
                <w:rFonts w:eastAsia="SimSun" w:ascii="Times New Roman" w:hAnsi="Times New Roman"/>
                <w:b/>
                <w:color w:val="111827"/>
                <w:sz w:val="21"/>
              </w:rPr>
              <w:t>Voc/V</w:t>
            </w:r>
          </w:p>
        </w:tc>
        <w:tc>
          <w:tcPr>
            <w:tcW w:type="dxa" w:w="1758"/>
          </w:tcPr>
          <w:p>
            <w:pPr>
              <w:jc w:val="center"/>
            </w:pPr>
            <w:r/>
            <w:r>
              <w:rPr>
                <w:rFonts w:eastAsia="SimSun" w:ascii="Times New Roman" w:hAnsi="Times New Roman"/>
                <w:b/>
                <w:color w:val="111827"/>
                <w:sz w:val="21"/>
              </w:rPr>
              <w:t>Jsc/(mA·cm⁻²)</w:t>
            </w:r>
          </w:p>
        </w:tc>
        <w:tc>
          <w:tcPr>
            <w:tcW w:type="dxa" w:w="1758"/>
          </w:tcPr>
          <w:p>
            <w:pPr>
              <w:jc w:val="center"/>
            </w:pPr>
            <w:r/>
            <w:r>
              <w:rPr>
                <w:rFonts w:eastAsia="SimSun" w:ascii="Times New Roman" w:hAnsi="Times New Roman"/>
                <w:b/>
                <w:color w:val="111827"/>
                <w:sz w:val="21"/>
              </w:rPr>
              <w:t>FF/%</w:t>
            </w:r>
          </w:p>
        </w:tc>
        <w:tc>
          <w:tcPr>
            <w:tcW w:type="dxa" w:w="1758"/>
          </w:tcPr>
          <w:p>
            <w:pPr>
              <w:jc w:val="center"/>
            </w:pPr>
            <w:r/>
            <w:r>
              <w:rPr>
                <w:rFonts w:eastAsia="SimSun" w:ascii="Times New Roman" w:hAnsi="Times New Roman"/>
                <w:b/>
                <w:color w:val="111827"/>
                <w:sz w:val="21"/>
              </w:rPr>
              <w:t>PCE/%</w:t>
            </w:r>
          </w:p>
        </w:tc>
      </w:tr>
      <w:tr>
        <w:tc>
          <w:tcPr>
            <w:tcW w:type="dxa" w:w="1758"/>
          </w:tcPr>
          <w:p>
            <w:pPr>
              <w:jc w:val="left"/>
            </w:pPr>
            <w:r/>
            <w:r>
              <w:rPr>
                <w:rFonts w:eastAsia="SimSun" w:ascii="Times New Roman" w:hAnsi="Times New Roman"/>
                <w:color w:val="4B5563"/>
                <w:sz w:val="18"/>
              </w:rPr>
              <w:t>对照组（无钝化）</w:t>
            </w:r>
          </w:p>
        </w:tc>
        <w:tc>
          <w:tcPr>
            <w:tcW w:type="dxa" w:w="1758"/>
          </w:tcPr>
          <w:p>
            <w:pPr>
              <w:jc w:val="right"/>
            </w:pPr>
            <w:r/>
            <w:r>
              <w:rPr>
                <w:rFonts w:eastAsia="SimSun" w:ascii="Times New Roman" w:hAnsi="Times New Roman"/>
                <w:color w:val="4B5563"/>
                <w:sz w:val="18"/>
              </w:rPr>
              <w:t>1.875</w:t>
            </w:r>
          </w:p>
        </w:tc>
        <w:tc>
          <w:tcPr>
            <w:tcW w:type="dxa" w:w="1758"/>
          </w:tcPr>
          <w:p>
            <w:pPr>
              <w:jc w:val="right"/>
            </w:pPr>
            <w:r/>
            <w:r>
              <w:rPr>
                <w:rFonts w:eastAsia="SimSun" w:ascii="Times New Roman" w:hAnsi="Times New Roman"/>
                <w:color w:val="4B5563"/>
                <w:sz w:val="18"/>
              </w:rPr>
              <w:t>18.6</w:t>
            </w:r>
          </w:p>
        </w:tc>
        <w:tc>
          <w:tcPr>
            <w:tcW w:type="dxa" w:w="1758"/>
          </w:tcPr>
          <w:p>
            <w:pPr>
              <w:jc w:val="right"/>
            </w:pPr>
            <w:r/>
            <w:r>
              <w:rPr>
                <w:rFonts w:eastAsia="SimSun" w:ascii="Times New Roman" w:hAnsi="Times New Roman"/>
                <w:color w:val="4B5563"/>
                <w:sz w:val="18"/>
              </w:rPr>
              <w:t>77.7</w:t>
            </w:r>
          </w:p>
        </w:tc>
        <w:tc>
          <w:tcPr>
            <w:tcW w:type="dxa" w:w="1758"/>
          </w:tcPr>
          <w:p>
            <w:pPr>
              <w:jc w:val="right"/>
            </w:pPr>
            <w:r/>
            <w:r>
              <w:rPr>
                <w:rFonts w:eastAsia="SimSun" w:ascii="Times New Roman" w:hAnsi="Times New Roman"/>
                <w:color w:val="4B5563"/>
                <w:sz w:val="18"/>
              </w:rPr>
              <w:t>27.1</w:t>
            </w:r>
          </w:p>
        </w:tc>
      </w:tr>
      <w:tr>
        <w:tc>
          <w:tcPr>
            <w:tcW w:type="dxa" w:w="1758"/>
          </w:tcPr>
          <w:p>
            <w:pPr>
              <w:jc w:val="left"/>
            </w:pPr>
            <w:r/>
            <w:r>
              <w:rPr>
                <w:rFonts w:eastAsia="SimSun" w:ascii="Times New Roman" w:hAnsi="Times New Roman"/>
                <w:color w:val="4B5563"/>
                <w:sz w:val="18"/>
              </w:rPr>
              <w:t>实验组（有钝化）</w:t>
            </w:r>
          </w:p>
        </w:tc>
        <w:tc>
          <w:tcPr>
            <w:tcW w:type="dxa" w:w="1758"/>
          </w:tcPr>
          <w:p>
            <w:pPr>
              <w:jc w:val="right"/>
            </w:pPr>
            <w:r/>
            <w:r>
              <w:rPr>
                <w:rFonts w:eastAsia="SimSun" w:ascii="Times New Roman" w:hAnsi="Times New Roman"/>
                <w:color w:val="4B5563"/>
                <w:sz w:val="18"/>
              </w:rPr>
              <w:t>1.920</w:t>
            </w:r>
          </w:p>
        </w:tc>
        <w:tc>
          <w:tcPr>
            <w:tcW w:type="dxa" w:w="1758"/>
          </w:tcPr>
          <w:p>
            <w:pPr>
              <w:jc w:val="right"/>
            </w:pPr>
            <w:r/>
            <w:r>
              <w:rPr>
                <w:rFonts w:eastAsia="SimSun" w:ascii="Times New Roman" w:hAnsi="Times New Roman"/>
                <w:color w:val="4B5563"/>
                <w:sz w:val="18"/>
              </w:rPr>
              <w:t>18.8</w:t>
            </w:r>
          </w:p>
        </w:tc>
        <w:tc>
          <w:tcPr>
            <w:tcW w:type="dxa" w:w="1758"/>
          </w:tcPr>
          <w:p>
            <w:pPr>
              <w:jc w:val="right"/>
            </w:pPr>
            <w:r/>
            <w:r>
              <w:rPr>
                <w:rFonts w:eastAsia="SimSun" w:ascii="Times New Roman" w:hAnsi="Times New Roman"/>
                <w:color w:val="4B5563"/>
                <w:sz w:val="18"/>
              </w:rPr>
              <w:t>81.2</w:t>
            </w:r>
          </w:p>
        </w:tc>
        <w:tc>
          <w:tcPr>
            <w:tcW w:type="dxa" w:w="1758"/>
          </w:tcPr>
          <w:p>
            <w:pPr>
              <w:jc w:val="right"/>
            </w:pPr>
            <w:r/>
            <w:r>
              <w:rPr>
                <w:rFonts w:eastAsia="SimSun" w:ascii="Times New Roman" w:hAnsi="Times New Roman"/>
                <w:color w:val="4B5563"/>
                <w:sz w:val="18"/>
              </w:rPr>
              <w:t>28.5</w:t>
            </w:r>
          </w:p>
        </w:tc>
      </w:tr>
    </w:tbl>
    <w:p>
      <w:r>
        <w:rPr>
          <w:rFonts w:eastAsia="SimSun" w:ascii="Times New Roman" w:hAnsi="Times New Roman"/>
          <w:color w:val="9CA3AF"/>
          <w:sz w:val="16"/>
        </w:rPr>
        <w:t>注：数据为5个平行器件的平均值</w:t>
      </w:r>
    </w:p>
    <w:p>
      <w:pPr>
        <w:spacing w:line="440" w:lineRule="exact" w:before="240" w:after="120"/>
      </w:pPr>
      <w:r>
        <w:rPr>
          <w:rFonts w:ascii="Times New Roman" w:hAnsi="Times New Roman" w:eastAsia="SimHei"/>
          <w:b/>
          <w:sz w:val="24"/>
        </w:rPr>
        <w:t>3.2 界面微观结构与机理</w:t>
      </w:r>
    </w:p>
    <w:p>
      <w:pPr>
        <w:spacing w:line="440" w:lineRule="exact" w:before="0" w:after="0"/>
        <w:ind w:firstLine="480"/>
        <w:jc w:val="both"/>
      </w:pPr>
      <w:r>
        <w:rPr>
          <w:rFonts w:ascii="Times New Roman" w:hAnsi="Times New Roman" w:eastAsia="SimSun"/>
          <w:b w:val="0"/>
          <w:sz w:val="24"/>
        </w:rPr>
        <w:t>SEM截面图像显示，钙钛矿薄膜致密均匀，厚度约500 nm，与上下传输层接触紧密，无明显针孔或裂纹。TEM高分辨图像证实，界面处存在约2 nm厚的非晶Al₂O₃层，该层完整覆盖钙钛矿表面，未破坏下方晶体结构。</w:t>
      </w:r>
    </w:p>
    <w:p>
      <w:pPr>
        <w:spacing w:line="440" w:lineRule="exact" w:before="0" w:after="0"/>
        <w:ind w:firstLine="480"/>
        <w:jc w:val="both"/>
      </w:pPr>
      <w:r>
        <w:rPr>
          <w:rFonts w:ascii="Times New Roman" w:hAnsi="Times New Roman" w:eastAsia="SimSun"/>
          <w:b w:val="0"/>
          <w:sz w:val="24"/>
        </w:rPr>
        <w:t>XPS深度剖析表明，钝化层有效阻隔了碘离子向电子传输层的扩散。在未钝化样品中，老化后界面处检测到明显的I-In键信号，表明碘离子侵蚀导致了ITO电极退化；而实验组样品在老化前后界面元素分布稳定，未发现显著的离子迁移现象。这证明超薄氧化铝层不仅钝化了表面缺陷，还充当了离子阻挡层，提升了界面的化学稳定性。</w:t>
      </w:r>
    </w:p>
    <w:p>
      <w:pPr>
        <w:spacing w:line="440" w:lineRule="exact" w:before="240" w:after="120"/>
      </w:pPr>
      <w:r>
        <w:rPr>
          <w:rFonts w:ascii="Times New Roman" w:hAnsi="Times New Roman" w:eastAsia="SimHei"/>
          <w:b/>
          <w:sz w:val="24"/>
        </w:rPr>
        <w:t>3.3 长期稳定性评估</w:t>
      </w:r>
    </w:p>
    <w:p>
      <w:pPr>
        <w:spacing w:line="440" w:lineRule="exact" w:before="0" w:after="0"/>
        <w:ind w:firstLine="480"/>
        <w:jc w:val="both"/>
      </w:pPr>
      <w:r>
        <w:rPr>
          <w:rFonts w:ascii="Times New Roman" w:hAnsi="Times New Roman" w:eastAsia="SimSun"/>
          <w:b w:val="0"/>
          <w:sz w:val="24"/>
        </w:rPr>
        <w:t>在85 °C/85% RH双85加速老化测试中，实验组器件表现出优异的稳定性。如图表数据所示，经过2000小时测试后，器件效率保持率为92%，平均每小时衰减率仅为0.004%。相比之下，未封装完善的对照组在500小时后效率即下降至初始值的80%以下。</w:t>
      </w:r>
    </w:p>
    <w:p>
      <w:pPr>
        <w:spacing w:line="440" w:lineRule="exact" w:before="0" w:after="0"/>
        <w:ind w:firstLine="480"/>
        <w:jc w:val="both"/>
      </w:pPr>
      <w:r>
        <w:rPr>
          <w:rFonts w:ascii="Times New Roman" w:hAnsi="Times New Roman" w:eastAsia="SimSun"/>
          <w:b w:val="0"/>
          <w:sz w:val="24"/>
        </w:rPr>
        <w:t>基于Arrhenius模型 extrapolation，假设户外平均工作温度为45 °C，推算该叠层电池的T80寿命（效率降至初始值80%的时间）超过25年，满足商业化光伏组件的使用寿命要求。热循环测试后，器件效率保持率为95%，表明界面层具有良好的机械柔韧性，能够缓解热应力引起的分层风险。</w:t>
      </w:r>
    </w:p>
    <w:p>
      <w:pPr>
        <w:spacing w:line="440" w:lineRule="exact" w:before="360" w:after="200"/>
      </w:pPr>
      <w:r>
        <w:rPr>
          <w:rFonts w:ascii="Times New Roman" w:hAnsi="Times New Roman" w:eastAsia="SimHei"/>
          <w:b/>
          <w:sz w:val="28"/>
        </w:rPr>
        <w:t>4 讨论</w:t>
      </w:r>
    </w:p>
    <w:p>
      <w:pPr>
        <w:spacing w:line="440" w:lineRule="exact" w:before="0" w:after="0"/>
        <w:ind w:firstLine="480"/>
        <w:jc w:val="both"/>
      </w:pPr>
      <w:r>
        <w:rPr>
          <w:rFonts w:ascii="Times New Roman" w:hAnsi="Times New Roman" w:eastAsia="SimSun"/>
          <w:b w:val="0"/>
          <w:sz w:val="24"/>
        </w:rPr>
        <w:t>本研究证实了界面工程对提升钙钛矿-硅叠层电池性能的关键作用。宽带隙钙钛矿的组分优化解决了光吸收与电压损失的平衡问题，而原子层沉积（ALD）制备的Al₂O₃钝化层则同时解决了电学复合与化学稳定性两大难题。</w:t>
      </w:r>
    </w:p>
    <w:p>
      <w:pPr>
        <w:spacing w:line="440" w:lineRule="exact" w:before="0" w:after="0"/>
        <w:ind w:firstLine="480"/>
        <w:jc w:val="both"/>
      </w:pPr>
      <w:r>
        <w:rPr>
          <w:rFonts w:ascii="Times New Roman" w:hAnsi="Times New Roman" w:eastAsia="SimSun"/>
          <w:b w:val="0"/>
          <w:sz w:val="24"/>
        </w:rPr>
        <w:t>与现有文献相比，本研究的效率水平处于国际前列，且稳定性数据优于多数仅关注初始效率的报道。然而，大面积制备时的均匀性控制仍是挑战。实验室小面积器件（1 cm²）的高效率难以直接线性放大至组件级别，主要受限于薄膜涂布的均一性及激光划线损耗。</w:t>
      </w:r>
    </w:p>
    <w:p>
      <w:pPr>
        <w:spacing w:line="440" w:lineRule="exact" w:before="0" w:after="0"/>
        <w:ind w:firstLine="480"/>
        <w:jc w:val="both"/>
      </w:pPr>
      <w:r>
        <w:rPr>
          <w:rFonts w:ascii="Times New Roman" w:hAnsi="Times New Roman" w:eastAsia="SimSun"/>
          <w:b w:val="0"/>
          <w:sz w:val="24"/>
        </w:rPr>
        <w:t>此外，虽然双85测试结果优异，但实际户外环境中的紫外光照效应未在加速测试中完全模拟。未来需结合紫外预处理与湿热测试，建立更贴近真实工况的老化评估模型。</w:t>
      </w:r>
    </w:p>
    <w:p>
      <w:pPr>
        <w:spacing w:line="440" w:lineRule="exact" w:before="360" w:after="200"/>
      </w:pPr>
      <w:r>
        <w:rPr>
          <w:rFonts w:ascii="Times New Roman" w:hAnsi="Times New Roman" w:eastAsia="SimHei"/>
          <w:b/>
          <w:sz w:val="28"/>
        </w:rPr>
        <w:t>结论与建议</w:t>
      </w:r>
    </w:p>
    <w:p>
      <w:pPr>
        <w:spacing w:line="440" w:lineRule="exact" w:before="0" w:after="0"/>
        <w:ind w:firstLine="480"/>
        <w:jc w:val="both"/>
      </w:pPr>
      <w:r>
        <w:rPr>
          <w:rFonts w:ascii="Times New Roman" w:hAnsi="Times New Roman" w:eastAsia="SimSun"/>
          <w:b w:val="0"/>
          <w:sz w:val="24"/>
        </w:rPr>
        <w:t>（1）成功制备了宽带隙钙钛矿/HJT硅两端叠层太阳能电池，初始光电转换效率达28.5%，开路电压1.92 V，电流匹配良好。</w:t>
      </w:r>
    </w:p>
    <w:p>
      <w:pPr>
        <w:spacing w:line="440" w:lineRule="exact" w:before="0" w:after="0"/>
        <w:ind w:firstLine="480"/>
        <w:jc w:val="both"/>
      </w:pPr>
      <w:r>
        <w:rPr>
          <w:rFonts w:ascii="Times New Roman" w:hAnsi="Times New Roman" w:eastAsia="SimSun"/>
          <w:b w:val="0"/>
          <w:sz w:val="24"/>
        </w:rPr>
        <w:t>（2）引入超薄Al₂O₃界面钝化层显著抑制了界面非辐射复合与碘离子迁移，使开路电压提升45 mV，填充因子提升至81.2%。</w:t>
      </w:r>
    </w:p>
    <w:p>
      <w:pPr>
        <w:spacing w:line="440" w:lineRule="exact" w:before="0" w:after="0"/>
        <w:ind w:firstLine="480"/>
        <w:jc w:val="both"/>
      </w:pPr>
      <w:r>
        <w:rPr>
          <w:rFonts w:ascii="Times New Roman" w:hAnsi="Times New Roman" w:eastAsia="SimSun"/>
          <w:b w:val="0"/>
          <w:sz w:val="24"/>
        </w:rPr>
        <w:t>（3）器件具有优异的长期稳定性，经2000小时85 °C/85% RH加速老化后效率保持率为92%，推算T80寿命超过25年。</w:t>
      </w:r>
    </w:p>
    <w:p>
      <w:pPr>
        <w:spacing w:line="440" w:lineRule="exact" w:before="0" w:after="0"/>
        <w:ind w:firstLine="480"/>
        <w:jc w:val="both"/>
      </w:pPr>
      <w:r>
        <w:rPr>
          <w:rFonts w:ascii="Times New Roman" w:hAnsi="Times New Roman" w:eastAsia="SimSun"/>
          <w:b w:val="0"/>
          <w:sz w:val="24"/>
        </w:rPr>
        <w:t>（4）界面工程与封装协同优化是实现高效长寿命叠层电池的有效途径，解决了钙钛矿材料环境敏感性高的核心痛点。</w:t>
      </w:r>
    </w:p>
    <w:p>
      <w:pPr>
        <w:spacing w:line="440" w:lineRule="exact" w:before="240" w:after="120"/>
      </w:pPr>
      <w:r>
        <w:rPr>
          <w:rFonts w:ascii="Times New Roman" w:hAnsi="Times New Roman" w:eastAsia="SimHei"/>
          <w:b/>
          <w:sz w:val="24"/>
        </w:rPr>
        <w:t>建议</w:t>
      </w:r>
    </w:p>
    <w:p>
      <w:pPr>
        <w:spacing w:line="440" w:lineRule="exact" w:before="0" w:after="0"/>
        <w:ind w:firstLine="480"/>
        <w:jc w:val="both"/>
      </w:pPr>
      <w:r>
        <w:rPr>
          <w:rFonts w:ascii="Times New Roman" w:hAnsi="Times New Roman" w:eastAsia="SimSun"/>
          <w:b w:val="0"/>
          <w:sz w:val="24"/>
        </w:rPr>
        <w:t>1. 建议在后续研究中开发适用于大面积涂布的狭缝涂布工艺，解决从实验室小面积到组件级别的效率损失问题</w:t>
      </w:r>
    </w:p>
    <w:p>
      <w:pPr>
        <w:spacing w:line="440" w:lineRule="exact" w:before="0" w:after="0"/>
        <w:ind w:firstLine="480"/>
        <w:jc w:val="both"/>
      </w:pPr>
      <w:r>
        <w:rPr>
          <w:rFonts w:ascii="Times New Roman" w:hAnsi="Times New Roman" w:eastAsia="SimSun"/>
          <w:b w:val="0"/>
          <w:sz w:val="24"/>
        </w:rPr>
        <w:t>2. 建议开展户外实证测试，重点监测紫外光照与湿热耦合效应对器件长期性能的实际影响</w:t>
      </w:r>
    </w:p>
    <w:p>
      <w:pPr>
        <w:spacing w:line="440" w:lineRule="exact" w:before="0" w:after="0"/>
        <w:ind w:firstLine="480"/>
        <w:jc w:val="both"/>
      </w:pPr>
      <w:r>
        <w:rPr>
          <w:rFonts w:ascii="Times New Roman" w:hAnsi="Times New Roman" w:eastAsia="SimSun"/>
          <w:b w:val="0"/>
          <w:sz w:val="24"/>
        </w:rPr>
        <w:t>3. 进一步优化透明导电电极的光电平衡性能，减少寄生吸收，争取将叠层效率提升至30%以上</w:t>
      </w:r>
    </w:p>
    <w:p>
      <w:pPr>
        <w:spacing w:line="440" w:lineRule="exact" w:before="0" w:after="0"/>
        <w:ind w:firstLine="480"/>
        <w:jc w:val="both"/>
      </w:pPr>
      <w:r>
        <w:rPr>
          <w:rFonts w:ascii="Times New Roman" w:hAnsi="Times New Roman" w:eastAsia="SimSun"/>
          <w:b w:val="0"/>
          <w:sz w:val="24"/>
        </w:rPr>
        <w:t>4. 建立基于机器学习的材料筛选模型，加速寻找更稳定、无毒的新型钙钛矿组分替代方案</w:t>
      </w:r>
    </w:p>
    <w:p>
      <w:pPr>
        <w:spacing w:line="440" w:lineRule="exact" w:before="360" w:after="200"/>
      </w:pPr>
      <w:r>
        <w:rPr>
          <w:rFonts w:ascii="Times New Roman" w:hAnsi="Times New Roman" w:eastAsia="SimHei"/>
          <w:b/>
          <w:sz w:val="28"/>
        </w:rPr>
        <w:t>参考文献</w:t>
      </w:r>
    </w:p>
    <w:p>
      <w:pPr>
        <w:spacing w:line="360" w:lineRule="exact" w:before="0" w:after="40"/>
      </w:pPr>
      <w:r>
        <w:rPr>
          <w:rFonts w:ascii="Times New Roman" w:hAnsi="Times New Roman" w:eastAsia="SimSun"/>
          <w:b w:val="0"/>
          <w:sz w:val="21"/>
        </w:rPr>
        <w:t>[1] Al-Ashouri A, et al. Monolithic perovskite/silicon tandem solar cell with &gt;29% efficiency by enhanced hole extraction[J]. Science, 2020, 370(6522): 1300-1309.</w:t>
      </w:r>
    </w:p>
    <w:p>
      <w:pPr>
        <w:spacing w:line="360" w:lineRule="exact" w:before="0" w:after="40"/>
      </w:pPr>
      <w:r>
        <w:rPr>
          <w:rFonts w:ascii="Times New Roman" w:hAnsi="Times New Roman" w:eastAsia="SimSun"/>
          <w:b w:val="0"/>
          <w:sz w:val="21"/>
        </w:rPr>
        <w:t>[2] Yoo J J, et al. Efficient perovskite–perovskite tandem solar cells with continually optimized bandgap[J]. Nature Energy, 2022, 7: 520-530.</w:t>
      </w:r>
    </w:p>
    <w:p>
      <w:pPr>
        <w:spacing w:line="360" w:lineRule="exact" w:before="0" w:after="40"/>
      </w:pPr>
      <w:r>
        <w:rPr>
          <w:rFonts w:ascii="Times New Roman" w:hAnsi="Times New Roman" w:eastAsia="SimSun"/>
          <w:b w:val="0"/>
          <w:sz w:val="21"/>
        </w:rPr>
        <w:t>[3] IEC 61215-2:2021 Terrestrial photovoltaic (PV) modules - Design qualification and type approval - Part 2: Test procedures[S]. Geneva: International Electrotechnical Commission, 2021.</w:t>
      </w:r>
    </w:p>
    <w:p>
      <w:pPr>
        <w:spacing w:line="360" w:lineRule="exact" w:before="0" w:after="40"/>
      </w:pPr>
      <w:r>
        <w:rPr>
          <w:rFonts w:ascii="Times New Roman" w:hAnsi="Times New Roman" w:eastAsia="SimSun"/>
          <w:b w:val="0"/>
          <w:sz w:val="21"/>
        </w:rPr>
        <w:t>[4] 张华, 李明. 钙钛矿/硅叠层太阳能电池界面钝化技术研究进展[J]. 物理学报, 2023, 72(15): 158801.</w:t>
      </w:r>
    </w:p>
    <w:p>
      <w:pPr>
        <w:spacing w:line="360" w:lineRule="exact" w:before="0" w:after="40"/>
      </w:pPr>
      <w:r>
        <w:rPr>
          <w:rFonts w:ascii="Times New Roman" w:hAnsi="Times New Roman" w:eastAsia="SimSun"/>
          <w:b w:val="0"/>
          <w:sz w:val="21"/>
        </w:rPr>
        <w:t>[5] GB/T 6495.1-1996 太阳光伏能源系统术语[S]. 北京: 中国标准出版社, 1996.</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