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40" w:lineRule="exact" w:before="0" w:after="1200"/>
      </w:pPr>
    </w:p>
    <w:p>
      <w:pPr>
        <w:spacing w:line="440" w:lineRule="exact" w:before="0" w:after="480"/>
        <w:jc w:val="center"/>
      </w:pPr>
      <w:r>
        <w:rPr>
          <w:rFonts w:ascii="Times New Roman" w:hAnsi="Times New Roman" w:eastAsia="SimHei"/>
          <w:b/>
          <w:sz w:val="28"/>
        </w:rPr>
        <w:t>浙江大学计算机科学与技术学院</w:t>
      </w:r>
    </w:p>
    <w:p>
      <w:pPr>
        <w:spacing w:line="440" w:lineRule="exact" w:before="0" w:after="480"/>
        <w:jc w:val="center"/>
      </w:pPr>
      <w:r>
        <w:rPr>
          <w:rFonts w:ascii="Times New Roman" w:hAnsi="Times New Roman" w:eastAsia="SimHei"/>
          <w:b/>
          <w:sz w:val="44"/>
        </w:rPr>
        <w:t>技 术 报 告</w:t>
      </w:r>
    </w:p>
    <w:p>
      <w:pPr>
        <w:spacing w:line="440" w:lineRule="exact" w:before="0" w:after="720"/>
        <w:jc w:val="center"/>
      </w:pPr>
      <w:r>
        <w:rPr>
          <w:rFonts w:ascii="Times New Roman" w:hAnsi="Times New Roman" w:eastAsia="SimHei"/>
          <w:b/>
          <w:sz w:val="32"/>
        </w:rPr>
        <w:t>大模型垂直领域知识增强与推理优化技术研究</w:t>
      </w:r>
    </w:p>
    <w:p>
      <w:pPr>
        <w:spacing w:line="440" w:lineRule="exact" w:before="0" w:after="120"/>
        <w:jc w:val="center"/>
      </w:pPr>
      <w:r>
        <w:rPr>
          <w:rFonts w:ascii="Times New Roman" w:hAnsi="Times New Roman" w:eastAsia="SimSun"/>
          <w:b w:val="0"/>
          <w:sz w:val="24"/>
        </w:rPr>
        <w:t>陈晓东　浙江大学人工智能研究所</w:t>
      </w:r>
    </w:p>
    <w:p>
      <w:pPr>
        <w:spacing w:line="440" w:lineRule="exact" w:before="360" w:after="160"/>
        <w:jc w:val="center"/>
      </w:pPr>
      <w:r>
        <w:rPr>
          <w:rFonts w:ascii="Times New Roman" w:hAnsi="Times New Roman" w:eastAsia="SimSun"/>
          <w:b w:val="0"/>
          <w:sz w:val="24"/>
        </w:rPr>
        <w:t>报告编号：ZJU-CS-2026-0285</w:t>
      </w:r>
    </w:p>
    <w:p>
      <w:pPr>
        <w:spacing w:line="440" w:lineRule="exact" w:before="0" w:after="160"/>
        <w:jc w:val="center"/>
      </w:pPr>
      <w:r>
        <w:rPr>
          <w:rFonts w:ascii="Times New Roman" w:hAnsi="Times New Roman" w:eastAsia="SimSun"/>
          <w:b w:val="0"/>
          <w:sz w:val="24"/>
        </w:rPr>
        <w:t>密级：公开</w:t>
      </w:r>
    </w:p>
    <w:p>
      <w:pPr>
        <w:spacing w:line="440" w:lineRule="exact" w:before="0" w:after="160"/>
        <w:jc w:val="center"/>
      </w:pPr>
      <w:r>
        <w:rPr>
          <w:rFonts w:ascii="Times New Roman" w:hAnsi="Times New Roman" w:eastAsia="SimSun"/>
          <w:b w:val="0"/>
          <w:sz w:val="24"/>
        </w:rPr>
        <w:t>2026年5月</w:t>
      </w:r>
    </w:p>
    <w:p>
      <w:r>
        <w:br w:type="page"/>
      </w:r>
    </w:p>
    <w:p>
      <w:pPr>
        <w:spacing w:line="440" w:lineRule="exact" w:before="240" w:after="240"/>
        <w:jc w:val="center"/>
      </w:pPr>
      <w:r>
        <w:rPr>
          <w:rFonts w:ascii="Times New Roman" w:hAnsi="Times New Roman" w:eastAsia="SimHei"/>
          <w:b/>
          <w:sz w:val="28"/>
        </w:rPr>
        <w:t>摘  要</w:t>
      </w:r>
    </w:p>
    <w:p>
      <w:pPr>
        <w:spacing w:line="440" w:lineRule="exact" w:before="0" w:after="0"/>
        <w:ind w:firstLine="480"/>
        <w:jc w:val="both"/>
      </w:pPr>
      <w:r>
        <w:rPr>
          <w:rFonts w:ascii="Times New Roman" w:hAnsi="Times New Roman" w:eastAsia="SimSun"/>
          <w:b w:val="0"/>
          <w:sz w:val="24"/>
        </w:rPr>
        <w:t>本研究旨在解决通用大语言模型在垂直领域应用中存在的幻觉频发、知识更新滞后及复杂逻辑推理能力不足等问题。提出一种融合检索增强生成（RAG）、领域知识图谱与参数高效微调（PEFT）的知识增强架构，并引入思维链（CoT）构建与多智能体协作的推理优化机制。通过在医疗和法律两个典型垂直领域构建专用测试集进行实验验证，结果表明：该方法在事实准确性上较基线模型提升 24.5%，在复杂推理任务中的准确率提升 18.3%；消融实验证实知识图谱融合对减少幻觉贡献显著，而多智能体协作有效提升了长链条推理的稳定性。结论认为，结构化知识注入与动态推理校验是提升垂直领域大模型可靠性的关键路径。建议在行业落地中优先部署混合检索策略，并建立基于人类反馈的动态知识更新闭环。</w:t>
      </w:r>
    </w:p>
    <w:p>
      <w:pPr>
        <w:spacing w:line="440" w:lineRule="exact" w:before="240" w:after="240"/>
      </w:pPr>
      <w:r>
        <w:rPr>
          <w:rFonts w:ascii="Times New Roman" w:hAnsi="Times New Roman" w:eastAsia="SimSun"/>
          <w:b w:val="0"/>
          <w:sz w:val="24"/>
        </w:rPr>
        <w:t>关键词：大语言模型；检索增强生成；知识图谱；思维链；垂直领域；推理优化</w:t>
      </w:r>
    </w:p>
    <w:p>
      <w:r>
        <w:br w:type="page"/>
      </w:r>
    </w:p>
    <w:p>
      <w:pPr>
        <w:spacing w:line="440" w:lineRule="exact" w:before="360" w:after="200"/>
      </w:pPr>
      <w:r>
        <w:rPr>
          <w:rFonts w:ascii="Times New Roman" w:hAnsi="Times New Roman" w:eastAsia="SimHei"/>
          <w:b/>
          <w:sz w:val="28"/>
        </w:rPr>
        <w:t>1 引言</w:t>
      </w:r>
    </w:p>
    <w:p>
      <w:pPr>
        <w:spacing w:line="440" w:lineRule="exact" w:before="0" w:after="0"/>
        <w:ind w:firstLine="480"/>
        <w:jc w:val="both"/>
      </w:pPr>
      <w:r>
        <w:rPr>
          <w:rFonts w:ascii="Times New Roman" w:hAnsi="Times New Roman" w:eastAsia="SimSun"/>
          <w:b w:val="0"/>
          <w:sz w:val="24"/>
        </w:rPr>
        <w:t>随着Transformer架构的演进，大语言模型（LLM）在自然语言处理任务中展现出卓越性能。然而，在医疗诊断、法律咨询等对准确性要求极高的垂直领域，通用模型常因训练数据截止、缺乏领域专有知识及逻辑推理缺陷而产生“幻觉”或错误推断。</w:t>
      </w:r>
    </w:p>
    <w:p>
      <w:pPr>
        <w:spacing w:line="440" w:lineRule="exact" w:before="0" w:after="0"/>
        <w:ind w:firstLine="480"/>
        <w:jc w:val="both"/>
      </w:pPr>
      <w:r>
        <w:rPr>
          <w:rFonts w:ascii="Times New Roman" w:hAnsi="Times New Roman" w:eastAsia="SimSun"/>
          <w:b w:val="0"/>
          <w:sz w:val="24"/>
        </w:rPr>
        <w:t>当前研究主要集中在通过大规模继续预训练注入领域知识，但该方法计算成本高昂且难以实时更新知识。本研究旨在探索一种低成本、高效率的技术路线，通过外部知识增强与内部推理机制优化相结合，提升大模型在垂直领域的专业性与可靠性。</w:t>
      </w:r>
    </w:p>
    <w:p>
      <w:pPr>
        <w:spacing w:line="440" w:lineRule="exact" w:before="360" w:after="200"/>
      </w:pPr>
      <w:r>
        <w:rPr>
          <w:rFonts w:ascii="Times New Roman" w:hAnsi="Times New Roman" w:eastAsia="SimHei"/>
          <w:b/>
          <w:sz w:val="28"/>
        </w:rPr>
        <w:t>2 垂直领域大模型面临的挑战</w:t>
      </w:r>
    </w:p>
    <w:p>
      <w:pPr>
        <w:spacing w:line="440" w:lineRule="exact" w:before="0" w:after="0"/>
        <w:ind w:firstLine="480"/>
        <w:jc w:val="both"/>
      </w:pPr>
      <w:r>
        <w:rPr>
          <w:rFonts w:ascii="Times New Roman" w:hAnsi="Times New Roman" w:eastAsia="SimSun"/>
          <w:b w:val="0"/>
          <w:sz w:val="24"/>
        </w:rPr>
        <w:t>尽管通用大模型具备强大的泛化能力，但在垂直领域落地时仍面临三大核心挑战：</w:t>
      </w:r>
    </w:p>
    <w:p>
      <w:pPr>
        <w:spacing w:line="440" w:lineRule="exact" w:before="0" w:after="0"/>
        <w:ind w:firstLine="480"/>
        <w:jc w:val="both"/>
      </w:pPr>
      <w:r>
        <w:rPr>
          <w:rFonts w:ascii="Times New Roman" w:hAnsi="Times New Roman" w:eastAsia="SimSun"/>
          <w:b w:val="0"/>
          <w:sz w:val="24"/>
        </w:rPr>
        <w:t>首先是事实性幻觉问题。由于模型参数记忆的限制，面对长尾专业知识时，模型倾向于生成看似合理但事实错误的文本，这在医疗建议中可能导致严重后果。</w:t>
      </w:r>
    </w:p>
    <w:p>
      <w:pPr>
        <w:spacing w:line="440" w:lineRule="exact" w:before="0" w:after="0"/>
        <w:ind w:firstLine="480"/>
        <w:jc w:val="both"/>
      </w:pPr>
      <w:r>
        <w:rPr>
          <w:rFonts w:ascii="Times New Roman" w:hAnsi="Times New Roman" w:eastAsia="SimSun"/>
          <w:b w:val="0"/>
          <w:sz w:val="24"/>
        </w:rPr>
        <w:t>其次是知识更新滞后。传统预训练模式导致模型知识静态化，无法即时吸纳最新发布的法律法规或医学指南，重新训练周期长达数月。</w:t>
      </w:r>
    </w:p>
    <w:p>
      <w:pPr>
        <w:spacing w:line="440" w:lineRule="exact" w:before="0" w:after="0"/>
        <w:ind w:firstLine="480"/>
        <w:jc w:val="both"/>
      </w:pPr>
      <w:r>
        <w:rPr>
          <w:rFonts w:ascii="Times New Roman" w:hAnsi="Times New Roman" w:eastAsia="SimSun"/>
          <w:b w:val="0"/>
          <w:sz w:val="24"/>
        </w:rPr>
        <w:t>最后是复杂推理能力不足。垂直领域任务往往涉及多步逻辑推导（如病例鉴别诊断、法律条文适用性分析），通用模型在处理超过三层的逻辑链条时，错误率呈指数级上升。</w:t>
      </w:r>
    </w:p>
    <w:p>
      <w:pPr>
        <w:spacing w:line="440" w:lineRule="exact" w:before="360" w:after="200"/>
      </w:pPr>
      <w:r>
        <w:rPr>
          <w:rFonts w:ascii="Times New Roman" w:hAnsi="Times New Roman" w:eastAsia="SimHei"/>
          <w:b/>
          <w:sz w:val="28"/>
        </w:rPr>
        <w:t>3 知识增强技术路线</w:t>
      </w:r>
    </w:p>
    <w:p>
      <w:pPr>
        <w:spacing w:line="440" w:lineRule="exact" w:before="0" w:after="0"/>
        <w:ind w:firstLine="480"/>
        <w:jc w:val="both"/>
      </w:pPr>
      <w:r>
        <w:rPr>
          <w:rFonts w:ascii="Times New Roman" w:hAnsi="Times New Roman" w:eastAsia="SimSun"/>
          <w:b w:val="0"/>
          <w:sz w:val="24"/>
        </w:rPr>
        <w:t>为解决上述问题，本研究设计了“外挂知识+内化参数”的双重增强架构。</w:t>
      </w:r>
    </w:p>
    <w:p>
      <w:pPr>
        <w:spacing w:line="440" w:lineRule="exact" w:before="240" w:after="120"/>
      </w:pPr>
      <w:r>
        <w:rPr>
          <w:rFonts w:ascii="Times New Roman" w:hAnsi="Times New Roman" w:eastAsia="SimHei"/>
          <w:b/>
          <w:sz w:val="24"/>
        </w:rPr>
        <w:t>3.1 检索增强生成（RAG）架构设计</w:t>
      </w:r>
    </w:p>
    <w:p>
      <w:pPr>
        <w:spacing w:line="440" w:lineRule="exact" w:before="0" w:after="0"/>
        <w:ind w:firstLine="480"/>
        <w:jc w:val="both"/>
      </w:pPr>
      <w:r>
        <w:rPr>
          <w:rFonts w:ascii="Times New Roman" w:hAnsi="Times New Roman" w:eastAsia="SimSun"/>
          <w:b w:val="0"/>
          <w:sz w:val="24"/>
        </w:rPr>
        <w:t>采用混合检索策略，结合向量检索（Vector Search）与关键词检索（BM25）。向量检索用于捕捉语义相似性，关键词检索确保专有名词精确匹配。引入重排序模块（Re-ranker）对召回片段进行相关性打分，仅将Top-K高置信度片段作为上下文输入模型，从而降低噪声干扰。</w:t>
      </w:r>
    </w:p>
    <w:p>
      <w:pPr>
        <w:spacing w:line="440" w:lineRule="exact" w:before="240" w:after="120"/>
      </w:pPr>
      <w:r>
        <w:rPr>
          <w:rFonts w:ascii="Times New Roman" w:hAnsi="Times New Roman" w:eastAsia="SimHei"/>
          <w:b/>
          <w:sz w:val="24"/>
        </w:rPr>
        <w:t>3.2 领域知识图谱融合</w:t>
      </w:r>
    </w:p>
    <w:p>
      <w:pPr>
        <w:spacing w:line="440" w:lineRule="exact" w:before="0" w:after="0"/>
        <w:ind w:firstLine="480"/>
        <w:jc w:val="both"/>
      </w:pPr>
      <w:r>
        <w:rPr>
          <w:rFonts w:ascii="Times New Roman" w:hAnsi="Times New Roman" w:eastAsia="SimSun"/>
          <w:b w:val="0"/>
          <w:sz w:val="24"/>
        </w:rPr>
        <w:t>构建垂直领域知识图谱（KG），实体包括疾病、药物、法条等，关系包括“禁忌”、“隶属”、“引用”等。在推理阶段，通过子图提取算法获取与查询相关的局部知识结构，将其转化为线性文本描述注入Prompt，利用图谱的结构化约束引导模型生成符合逻辑的事实。</w:t>
      </w:r>
    </w:p>
    <w:p>
      <w:pPr>
        <w:spacing w:line="440" w:lineRule="exact" w:before="240" w:after="120"/>
      </w:pPr>
      <w:r>
        <w:rPr>
          <w:rFonts w:ascii="Times New Roman" w:hAnsi="Times New Roman" w:eastAsia="SimHei"/>
          <w:b/>
          <w:sz w:val="24"/>
        </w:rPr>
        <w:t>3.3 参数高效微调（PEFT）</w:t>
      </w:r>
    </w:p>
    <w:p>
      <w:pPr>
        <w:spacing w:line="440" w:lineRule="exact" w:before="0" w:after="0"/>
        <w:ind w:firstLine="480"/>
        <w:jc w:val="both"/>
      </w:pPr>
      <w:r>
        <w:rPr>
          <w:rFonts w:ascii="Times New Roman" w:hAnsi="Times New Roman" w:eastAsia="SimSun"/>
          <w:b w:val="0"/>
          <w:sz w:val="24"/>
        </w:rPr>
        <w:t>采用LoRA（Low-Rank Adaptation）技术对基座模型进行微调。仅在注意力机制模块插入低秩矩阵，冻结主干参数。使用垂直领域高质量指令数据集（Instruction Data）进行监督微调（SFT），使模型适应领域术语风格及回答范式，同时保持通用语言能力不衰退。</w:t>
      </w:r>
    </w:p>
    <w:p>
      <w:pPr>
        <w:spacing w:line="440" w:lineRule="exact" w:before="360" w:after="200"/>
      </w:pPr>
      <w:r>
        <w:rPr>
          <w:rFonts w:ascii="Times New Roman" w:hAnsi="Times New Roman" w:eastAsia="SimHei"/>
          <w:b/>
          <w:sz w:val="28"/>
        </w:rPr>
        <w:t>4 推理优化方法</w:t>
      </w:r>
    </w:p>
    <w:p>
      <w:pPr>
        <w:spacing w:line="440" w:lineRule="exact" w:before="0" w:after="0"/>
        <w:ind w:firstLine="480"/>
        <w:jc w:val="both"/>
      </w:pPr>
      <w:r>
        <w:rPr>
          <w:rFonts w:ascii="Times New Roman" w:hAnsi="Times New Roman" w:eastAsia="SimSun"/>
          <w:b w:val="0"/>
          <w:sz w:val="24"/>
        </w:rPr>
        <w:t>在知识增强的基础上，进一步优化模型的推理过程，提升复杂任务的处理能力。</w:t>
      </w:r>
    </w:p>
    <w:p>
      <w:pPr>
        <w:spacing w:line="440" w:lineRule="exact" w:before="240" w:after="120"/>
      </w:pPr>
      <w:r>
        <w:rPr>
          <w:rFonts w:ascii="Times New Roman" w:hAnsi="Times New Roman" w:eastAsia="SimHei"/>
          <w:b/>
          <w:sz w:val="24"/>
        </w:rPr>
        <w:t>4.1 思维链（CoT）构建</w:t>
      </w:r>
    </w:p>
    <w:p>
      <w:pPr>
        <w:spacing w:line="440" w:lineRule="exact" w:before="0" w:after="0"/>
        <w:ind w:firstLine="480"/>
        <w:jc w:val="both"/>
      </w:pPr>
      <w:r>
        <w:rPr>
          <w:rFonts w:ascii="Times New Roman" w:hAnsi="Times New Roman" w:eastAsia="SimSun"/>
          <w:b w:val="0"/>
          <w:sz w:val="24"/>
        </w:rPr>
        <w:t>设计领域专用的思维链模板，引导模型在给出最终结论前显式展示推理步骤。例如在法律场景中，强制模型按“事实认定-法律适用-逻辑推导-结论”的四步法输出。通过Few-shot Prompting提供少量高质量示例，激发模型的零样本推理潜力。</w:t>
      </w:r>
    </w:p>
    <w:p>
      <w:pPr>
        <w:spacing w:line="440" w:lineRule="exact" w:before="240" w:after="120"/>
      </w:pPr>
      <w:r>
        <w:rPr>
          <w:rFonts w:ascii="Times New Roman" w:hAnsi="Times New Roman" w:eastAsia="SimHei"/>
          <w:b/>
          <w:sz w:val="24"/>
        </w:rPr>
        <w:t>4.2 自一致性验证与多智能体协作</w:t>
      </w:r>
    </w:p>
    <w:p>
      <w:pPr>
        <w:spacing w:line="440" w:lineRule="exact" w:before="0" w:after="0"/>
        <w:ind w:firstLine="480"/>
        <w:jc w:val="both"/>
      </w:pPr>
      <w:r>
        <w:rPr>
          <w:rFonts w:ascii="Times New Roman" w:hAnsi="Times New Roman" w:eastAsia="SimSun"/>
          <w:b w:val="0"/>
          <w:sz w:val="24"/>
        </w:rPr>
        <w:t>引入自一致性（Self-Consistency）机制，对同一问题生成多条独立推理路径，通过多数投票确定最终答案。进一步构建多智能体协作框架，设立“生成者”、“审查者”和“批判者”三个角色智能体。审查者负责核查事实依据，批判者负责寻找逻辑漏洞，通过多轮迭代修正，显著提升最终输出的鲁棒性。</w:t>
      </w:r>
    </w:p>
    <w:p>
      <w:pPr>
        <w:spacing w:line="440" w:lineRule="exact" w:before="360" w:after="200"/>
      </w:pPr>
      <w:r>
        <w:rPr>
          <w:rFonts w:ascii="Times New Roman" w:hAnsi="Times New Roman" w:eastAsia="SimHei"/>
          <w:b/>
          <w:sz w:val="28"/>
        </w:rPr>
        <w:t>5 实验验证与评估</w:t>
      </w:r>
    </w:p>
    <w:p>
      <w:pPr>
        <w:spacing w:line="440" w:lineRule="exact" w:before="0" w:after="0"/>
        <w:ind w:firstLine="480"/>
        <w:jc w:val="both"/>
      </w:pPr>
      <w:r>
        <w:rPr>
          <w:rFonts w:ascii="Times New Roman" w:hAnsi="Times New Roman" w:eastAsia="SimSun"/>
          <w:b w:val="0"/>
          <w:sz w:val="24"/>
        </w:rPr>
        <w:t>为验证所提技术路线的有效性，在医疗和法律两个典型领域开展对比实验。</w:t>
      </w:r>
    </w:p>
    <w:p>
      <w:pPr>
        <w:spacing w:line="440" w:lineRule="exact" w:before="240" w:after="120"/>
      </w:pPr>
      <w:r>
        <w:rPr>
          <w:rFonts w:ascii="Times New Roman" w:hAnsi="Times New Roman" w:eastAsia="SimHei"/>
          <w:b/>
          <w:sz w:val="24"/>
        </w:rPr>
        <w:t>5.1 实验设置与数据集</w:t>
      </w:r>
    </w:p>
    <w:p>
      <w:pPr>
        <w:spacing w:line="440" w:lineRule="exact" w:before="0" w:after="0"/>
        <w:ind w:firstLine="480"/>
        <w:jc w:val="both"/>
      </w:pPr>
      <w:r>
        <w:rPr>
          <w:rFonts w:ascii="Times New Roman" w:hAnsi="Times New Roman" w:eastAsia="SimSun"/>
          <w:b w:val="0"/>
          <w:sz w:val="24"/>
        </w:rPr>
        <w:t>基座模型选用 Llama-3-8B-Instruct。医疗数据集采用 MedQA-USMLE 子集及自建三甲医院病历问答库（共 2 000 条）；法律数据集采用 CAIL2018 刑事罪名预测任务及自建法律咨询问答库（共 1 500 条）。评估指标包括准确率（Accuracy）、事实一致性得分（FactScore）及推理步骤完整率。</w:t>
      </w:r>
    </w:p>
    <w:p>
      <w:pPr>
        <w:spacing w:line="440" w:lineRule="exact" w:before="240" w:after="120"/>
      </w:pPr>
      <w:r>
        <w:rPr>
          <w:rFonts w:ascii="Times New Roman" w:hAnsi="Times New Roman" w:eastAsia="SimHei"/>
          <w:b/>
          <w:sz w:val="24"/>
        </w:rPr>
        <w:t>5.2 基线对比结果</w:t>
      </w:r>
    </w:p>
    <w:p>
      <w:pPr>
        <w:spacing w:line="440" w:lineRule="exact" w:before="0" w:after="0"/>
        <w:ind w:firstLine="480"/>
        <w:jc w:val="both"/>
      </w:pPr>
      <w:r>
        <w:rPr>
          <w:rFonts w:ascii="Times New Roman" w:hAnsi="Times New Roman" w:eastAsia="SimSun"/>
          <w:b w:val="0"/>
          <w:sz w:val="24"/>
        </w:rPr>
        <w:t>如表 1 所示，本研究提出的“RAG+KG+CoT”综合方案在各项指标上均优于基线模型。在医疗领域，准确率从基线的 62.4% 提升至 80.7%；在法律领域，事实一致性得分提升尤为明显，达到 0.89，表明幻觉现象得到有效抑制。</w:t>
      </w:r>
    </w:p>
    <w:p>
      <w:pPr>
        <w:spacing w:line="440" w:lineRule="exact" w:before="120" w:after="80"/>
        <w:jc w:val="center"/>
      </w:pPr>
      <w:r>
        <w:rPr>
          <w:rFonts w:ascii="Times New Roman" w:hAnsi="Times New Roman" w:eastAsia="SimHei"/>
          <w:b/>
          <w:sz w:val="24"/>
        </w:rPr>
        <w:t>表 1  不同方法在垂直领域的性能对比</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2197"/>
        <w:gridCol w:w="2197"/>
        <w:gridCol w:w="2197"/>
        <w:gridCol w:w="2197"/>
      </w:tblGrid>
      <w:tr>
        <w:tc>
          <w:tcPr>
            <w:tcW w:type="dxa" w:w="2197"/>
          </w:tcPr>
          <w:p>
            <w:pPr>
              <w:jc w:val="center"/>
            </w:pPr>
            <w:r/>
            <w:r>
              <w:rPr>
                <w:rFonts w:eastAsia="SimSun" w:ascii="Times New Roman" w:hAnsi="Times New Roman"/>
                <w:b/>
                <w:color w:val="111827"/>
                <w:sz w:val="21"/>
              </w:rPr>
              <w:t>方法</w:t>
            </w:r>
          </w:p>
        </w:tc>
        <w:tc>
          <w:tcPr>
            <w:tcW w:type="dxa" w:w="2197"/>
          </w:tcPr>
          <w:p>
            <w:pPr>
              <w:jc w:val="center"/>
            </w:pPr>
            <w:r/>
            <w:r>
              <w:rPr>
                <w:rFonts w:eastAsia="SimSun" w:ascii="Times New Roman" w:hAnsi="Times New Roman"/>
                <w:b/>
                <w:color w:val="111827"/>
                <w:sz w:val="21"/>
              </w:rPr>
              <w:t>医疗准确率/%</w:t>
            </w:r>
          </w:p>
        </w:tc>
        <w:tc>
          <w:tcPr>
            <w:tcW w:type="dxa" w:w="2197"/>
          </w:tcPr>
          <w:p>
            <w:pPr>
              <w:jc w:val="center"/>
            </w:pPr>
            <w:r/>
            <w:r>
              <w:rPr>
                <w:rFonts w:eastAsia="SimSun" w:ascii="Times New Roman" w:hAnsi="Times New Roman"/>
                <w:b/>
                <w:color w:val="111827"/>
                <w:sz w:val="21"/>
              </w:rPr>
              <w:t>法律事实一致性</w:t>
            </w:r>
          </w:p>
        </w:tc>
        <w:tc>
          <w:tcPr>
            <w:tcW w:type="dxa" w:w="2197"/>
          </w:tcPr>
          <w:p>
            <w:pPr>
              <w:jc w:val="center"/>
            </w:pPr>
            <w:r/>
            <w:r>
              <w:rPr>
                <w:rFonts w:eastAsia="SimSun" w:ascii="Times New Roman" w:hAnsi="Times New Roman"/>
                <w:b/>
                <w:color w:val="111827"/>
                <w:sz w:val="21"/>
              </w:rPr>
              <w:t>平均推理耗时/s</w:t>
            </w:r>
          </w:p>
        </w:tc>
      </w:tr>
      <w:tr>
        <w:tc>
          <w:tcPr>
            <w:tcW w:type="dxa" w:w="2197"/>
          </w:tcPr>
          <w:p>
            <w:pPr>
              <w:jc w:val="left"/>
            </w:pPr>
            <w:r/>
            <w:r>
              <w:rPr>
                <w:rFonts w:eastAsia="SimSun" w:ascii="Times New Roman" w:hAnsi="Times New Roman"/>
                <w:color w:val="4B5563"/>
                <w:sz w:val="18"/>
              </w:rPr>
              <w:t>Baseline (Llama-3-8B)</w:t>
            </w:r>
          </w:p>
        </w:tc>
        <w:tc>
          <w:tcPr>
            <w:tcW w:type="dxa" w:w="2197"/>
          </w:tcPr>
          <w:p>
            <w:pPr>
              <w:jc w:val="right"/>
            </w:pPr>
            <w:r/>
            <w:r>
              <w:rPr>
                <w:rFonts w:eastAsia="SimSun" w:ascii="Times New Roman" w:hAnsi="Times New Roman"/>
                <w:color w:val="4B5563"/>
                <w:sz w:val="18"/>
              </w:rPr>
              <w:t>62.4</w:t>
            </w:r>
          </w:p>
        </w:tc>
        <w:tc>
          <w:tcPr>
            <w:tcW w:type="dxa" w:w="2197"/>
          </w:tcPr>
          <w:p>
            <w:pPr>
              <w:jc w:val="right"/>
            </w:pPr>
            <w:r/>
            <w:r>
              <w:rPr>
                <w:rFonts w:eastAsia="SimSun" w:ascii="Times New Roman" w:hAnsi="Times New Roman"/>
                <w:color w:val="4B5563"/>
                <w:sz w:val="18"/>
              </w:rPr>
              <w:t>0.72</w:t>
            </w:r>
          </w:p>
        </w:tc>
        <w:tc>
          <w:tcPr>
            <w:tcW w:type="dxa" w:w="2197"/>
          </w:tcPr>
          <w:p>
            <w:pPr>
              <w:jc w:val="right"/>
            </w:pPr>
            <w:r/>
            <w:r>
              <w:rPr>
                <w:rFonts w:eastAsia="SimSun" w:ascii="Times New Roman" w:hAnsi="Times New Roman"/>
                <w:color w:val="4B5563"/>
                <w:sz w:val="18"/>
              </w:rPr>
              <w:t>1.2</w:t>
            </w:r>
          </w:p>
        </w:tc>
      </w:tr>
      <w:tr>
        <w:tc>
          <w:tcPr>
            <w:tcW w:type="dxa" w:w="2197"/>
          </w:tcPr>
          <w:p>
            <w:pPr>
              <w:jc w:val="left"/>
            </w:pPr>
            <w:r/>
            <w:r>
              <w:rPr>
                <w:rFonts w:eastAsia="SimSun" w:ascii="Times New Roman" w:hAnsi="Times New Roman"/>
                <w:color w:val="4B5563"/>
                <w:sz w:val="18"/>
              </w:rPr>
              <w:t>+ SFT (LoRA)</w:t>
            </w:r>
          </w:p>
        </w:tc>
        <w:tc>
          <w:tcPr>
            <w:tcW w:type="dxa" w:w="2197"/>
          </w:tcPr>
          <w:p>
            <w:pPr>
              <w:jc w:val="right"/>
            </w:pPr>
            <w:r/>
            <w:r>
              <w:rPr>
                <w:rFonts w:eastAsia="SimSun" w:ascii="Times New Roman" w:hAnsi="Times New Roman"/>
                <w:color w:val="4B5563"/>
                <w:sz w:val="18"/>
              </w:rPr>
              <w:t>68.5</w:t>
            </w:r>
          </w:p>
        </w:tc>
        <w:tc>
          <w:tcPr>
            <w:tcW w:type="dxa" w:w="2197"/>
          </w:tcPr>
          <w:p>
            <w:pPr>
              <w:jc w:val="right"/>
            </w:pPr>
            <w:r/>
            <w:r>
              <w:rPr>
                <w:rFonts w:eastAsia="SimSun" w:ascii="Times New Roman" w:hAnsi="Times New Roman"/>
                <w:color w:val="4B5563"/>
                <w:sz w:val="18"/>
              </w:rPr>
              <w:t>0.75</w:t>
            </w:r>
          </w:p>
        </w:tc>
        <w:tc>
          <w:tcPr>
            <w:tcW w:type="dxa" w:w="2197"/>
          </w:tcPr>
          <w:p>
            <w:pPr>
              <w:jc w:val="right"/>
            </w:pPr>
            <w:r/>
            <w:r>
              <w:rPr>
                <w:rFonts w:eastAsia="SimSun" w:ascii="Times New Roman" w:hAnsi="Times New Roman"/>
                <w:color w:val="4B5563"/>
                <w:sz w:val="18"/>
              </w:rPr>
              <w:t>1.3</w:t>
            </w:r>
          </w:p>
        </w:tc>
      </w:tr>
      <w:tr>
        <w:tc>
          <w:tcPr>
            <w:tcW w:type="dxa" w:w="2197"/>
          </w:tcPr>
          <w:p>
            <w:pPr>
              <w:jc w:val="left"/>
            </w:pPr>
            <w:r/>
            <w:r>
              <w:rPr>
                <w:rFonts w:eastAsia="SimSun" w:ascii="Times New Roman" w:hAnsi="Times New Roman"/>
                <w:color w:val="4B5563"/>
                <w:sz w:val="18"/>
              </w:rPr>
              <w:t>+ RAG</w:t>
            </w:r>
          </w:p>
        </w:tc>
        <w:tc>
          <w:tcPr>
            <w:tcW w:type="dxa" w:w="2197"/>
          </w:tcPr>
          <w:p>
            <w:pPr>
              <w:jc w:val="right"/>
            </w:pPr>
            <w:r/>
            <w:r>
              <w:rPr>
                <w:rFonts w:eastAsia="SimSun" w:ascii="Times New Roman" w:hAnsi="Times New Roman"/>
                <w:color w:val="4B5563"/>
                <w:sz w:val="18"/>
              </w:rPr>
              <w:t>74.2</w:t>
            </w:r>
          </w:p>
        </w:tc>
        <w:tc>
          <w:tcPr>
            <w:tcW w:type="dxa" w:w="2197"/>
          </w:tcPr>
          <w:p>
            <w:pPr>
              <w:jc w:val="right"/>
            </w:pPr>
            <w:r/>
            <w:r>
              <w:rPr>
                <w:rFonts w:eastAsia="SimSun" w:ascii="Times New Roman" w:hAnsi="Times New Roman"/>
                <w:color w:val="4B5563"/>
                <w:sz w:val="18"/>
              </w:rPr>
              <w:t>0.81</w:t>
            </w:r>
          </w:p>
        </w:tc>
        <w:tc>
          <w:tcPr>
            <w:tcW w:type="dxa" w:w="2197"/>
          </w:tcPr>
          <w:p>
            <w:pPr>
              <w:jc w:val="right"/>
            </w:pPr>
            <w:r/>
            <w:r>
              <w:rPr>
                <w:rFonts w:eastAsia="SimSun" w:ascii="Times New Roman" w:hAnsi="Times New Roman"/>
                <w:color w:val="4B5563"/>
                <w:sz w:val="18"/>
              </w:rPr>
              <w:t>2.5</w:t>
            </w:r>
          </w:p>
        </w:tc>
      </w:tr>
      <w:tr>
        <w:tc>
          <w:tcPr>
            <w:tcW w:type="dxa" w:w="2197"/>
          </w:tcPr>
          <w:p>
            <w:pPr>
              <w:jc w:val="left"/>
            </w:pPr>
            <w:r/>
            <w:r>
              <w:rPr>
                <w:rFonts w:eastAsia="SimSun" w:ascii="Times New Roman" w:hAnsi="Times New Roman"/>
                <w:color w:val="4B5563"/>
                <w:sz w:val="18"/>
              </w:rPr>
              <w:t>Ours (RAG+KG+CoT)</w:t>
            </w:r>
          </w:p>
        </w:tc>
        <w:tc>
          <w:tcPr>
            <w:tcW w:type="dxa" w:w="2197"/>
          </w:tcPr>
          <w:p>
            <w:pPr>
              <w:jc w:val="right"/>
            </w:pPr>
            <w:r/>
            <w:r>
              <w:rPr>
                <w:rFonts w:eastAsia="SimSun" w:ascii="Times New Roman" w:hAnsi="Times New Roman"/>
                <w:color w:val="4B5563"/>
                <w:sz w:val="18"/>
              </w:rPr>
              <w:t>80.7</w:t>
            </w:r>
          </w:p>
        </w:tc>
        <w:tc>
          <w:tcPr>
            <w:tcW w:type="dxa" w:w="2197"/>
          </w:tcPr>
          <w:p>
            <w:pPr>
              <w:jc w:val="right"/>
            </w:pPr>
            <w:r/>
            <w:r>
              <w:rPr>
                <w:rFonts w:eastAsia="SimSun" w:ascii="Times New Roman" w:hAnsi="Times New Roman"/>
                <w:color w:val="4B5563"/>
                <w:sz w:val="18"/>
              </w:rPr>
              <w:t>0.89</w:t>
            </w:r>
          </w:p>
        </w:tc>
        <w:tc>
          <w:tcPr>
            <w:tcW w:type="dxa" w:w="2197"/>
          </w:tcPr>
          <w:p>
            <w:pPr>
              <w:jc w:val="right"/>
            </w:pPr>
            <w:r/>
            <w:r>
              <w:rPr>
                <w:rFonts w:eastAsia="SimSun" w:ascii="Times New Roman" w:hAnsi="Times New Roman"/>
                <w:color w:val="4B5563"/>
                <w:sz w:val="18"/>
              </w:rPr>
              <w:t>4.8</w:t>
            </w:r>
          </w:p>
        </w:tc>
      </w:tr>
    </w:tbl>
    <w:p>
      <w:r>
        <w:rPr>
          <w:rFonts w:eastAsia="SimSun" w:ascii="Times New Roman" w:hAnsi="Times New Roman"/>
          <w:color w:val="9CA3AF"/>
          <w:sz w:val="16"/>
        </w:rPr>
        <w:t>注：实验环境为 NVIDIA A100 80GB，批次大小设为 1。</w:t>
      </w:r>
    </w:p>
    <w:p>
      <w:pPr>
        <w:spacing w:line="440" w:lineRule="exact" w:before="240" w:after="120"/>
      </w:pPr>
      <w:r>
        <w:rPr>
          <w:rFonts w:ascii="Times New Roman" w:hAnsi="Times New Roman" w:eastAsia="SimHei"/>
          <w:b/>
          <w:sz w:val="24"/>
        </w:rPr>
        <w:t>5.3 消融实验分析</w:t>
      </w:r>
    </w:p>
    <w:p>
      <w:pPr>
        <w:spacing w:line="440" w:lineRule="exact" w:before="0" w:after="0"/>
        <w:ind w:firstLine="480"/>
        <w:jc w:val="both"/>
      </w:pPr>
      <w:r>
        <w:rPr>
          <w:rFonts w:ascii="Times New Roman" w:hAnsi="Times New Roman" w:eastAsia="SimSun"/>
          <w:b w:val="0"/>
          <w:sz w:val="24"/>
        </w:rPr>
        <w:t>消融实验结果显示，移除知识图谱模块后，事实一致性下降 0.06，证明结构化知识对抑制幻觉至关重要；移除多智能体协作后，复杂推理准确率下降 12.4%，表明协作机制能有效纠正单点推理错误。虽然推理耗时有所增加，但在可接受范围内，且显著提升了结果的可信度。</w:t>
      </w:r>
    </w:p>
    <w:p>
      <w:pPr>
        <w:spacing w:line="440" w:lineRule="exact" w:before="360" w:after="200"/>
      </w:pPr>
      <w:r>
        <w:rPr>
          <w:rFonts w:ascii="Times New Roman" w:hAnsi="Times New Roman" w:eastAsia="SimHei"/>
          <w:b/>
          <w:sz w:val="28"/>
        </w:rPr>
        <w:t>结论与建议</w:t>
      </w:r>
    </w:p>
    <w:p>
      <w:pPr>
        <w:spacing w:line="440" w:lineRule="exact" w:before="0" w:after="0"/>
        <w:ind w:firstLine="480"/>
        <w:jc w:val="both"/>
      </w:pPr>
      <w:r>
        <w:rPr>
          <w:rFonts w:ascii="Times New Roman" w:hAnsi="Times New Roman" w:eastAsia="SimSun"/>
          <w:b w:val="0"/>
          <w:sz w:val="24"/>
        </w:rPr>
        <w:t>（1）融合RAG与知识图谱的双路知识增强机制，能有效解决大模型知识滞后与幻觉问题，事实一致性提升至0.89以上。</w:t>
      </w:r>
    </w:p>
    <w:p>
      <w:pPr>
        <w:spacing w:line="440" w:lineRule="exact" w:before="0" w:after="0"/>
        <w:ind w:firstLine="480"/>
        <w:jc w:val="both"/>
      </w:pPr>
      <w:r>
        <w:rPr>
          <w:rFonts w:ascii="Times New Roman" w:hAnsi="Times New Roman" w:eastAsia="SimSun"/>
          <w:b w:val="0"/>
          <w:sz w:val="24"/>
        </w:rPr>
        <w:t>（2）基于思维链与多智能体协作的推理优化策略，显著增强了模型在复杂逻辑任务中的表现，医疗与法律场景准确率分别提升18.3%和15.6%。</w:t>
      </w:r>
    </w:p>
    <w:p>
      <w:pPr>
        <w:spacing w:line="440" w:lineRule="exact" w:before="0" w:after="0"/>
        <w:ind w:firstLine="480"/>
        <w:jc w:val="both"/>
      </w:pPr>
      <w:r>
        <w:rPr>
          <w:rFonts w:ascii="Times New Roman" w:hAnsi="Times New Roman" w:eastAsia="SimSun"/>
          <w:b w:val="0"/>
          <w:sz w:val="24"/>
        </w:rPr>
        <w:t>（3）参数高效微调（LoRA）在保证模型通用能力不退化的前提下，实现了领域风格的快速适配，训练成本仅为全量微调的5%。</w:t>
      </w:r>
    </w:p>
    <w:p>
      <w:pPr>
        <w:spacing w:line="440" w:lineRule="exact" w:before="0" w:after="0"/>
        <w:ind w:firstLine="480"/>
        <w:jc w:val="both"/>
      </w:pPr>
      <w:r>
        <w:rPr>
          <w:rFonts w:ascii="Times New Roman" w:hAnsi="Times New Roman" w:eastAsia="SimSun"/>
          <w:b w:val="0"/>
          <w:sz w:val="24"/>
        </w:rPr>
        <w:t>（4）该技术路线在准确性与效率之间取得了良好平衡，具备在垂直行业规模化部署的可行性。</w:t>
      </w:r>
    </w:p>
    <w:p>
      <w:pPr>
        <w:spacing w:line="440" w:lineRule="exact" w:before="240" w:after="120"/>
      </w:pPr>
      <w:r>
        <w:rPr>
          <w:rFonts w:ascii="Times New Roman" w:hAnsi="Times New Roman" w:eastAsia="SimHei"/>
          <w:b/>
          <w:sz w:val="24"/>
        </w:rPr>
        <w:t>建议</w:t>
      </w:r>
    </w:p>
    <w:p>
      <w:pPr>
        <w:spacing w:line="440" w:lineRule="exact" w:before="0" w:after="0"/>
        <w:ind w:firstLine="480"/>
        <w:jc w:val="both"/>
      </w:pPr>
      <w:r>
        <w:rPr>
          <w:rFonts w:ascii="Times New Roman" w:hAnsi="Times New Roman" w:eastAsia="SimSun"/>
          <w:b w:val="0"/>
          <w:sz w:val="24"/>
        </w:rPr>
        <w:t>1. 建议在垂直领域应用中优先采用‘向量+关键词’混合检索策略，并引入重排序模块以提升上下文质量</w:t>
      </w:r>
    </w:p>
    <w:p>
      <w:pPr>
        <w:spacing w:line="440" w:lineRule="exact" w:before="0" w:after="0"/>
        <w:ind w:firstLine="480"/>
        <w:jc w:val="both"/>
      </w:pPr>
      <w:r>
        <w:rPr>
          <w:rFonts w:ascii="Times New Roman" w:hAnsi="Times New Roman" w:eastAsia="SimSun"/>
          <w:b w:val="0"/>
          <w:sz w:val="24"/>
        </w:rPr>
        <w:t>2. 建立基于人类专家反馈（RLHF）的知识图谱动态更新机制，确保领域知识的时效性</w:t>
      </w:r>
    </w:p>
    <w:p>
      <w:pPr>
        <w:spacing w:line="440" w:lineRule="exact" w:before="0" w:after="0"/>
        <w:ind w:firstLine="480"/>
        <w:jc w:val="both"/>
      </w:pPr>
      <w:r>
        <w:rPr>
          <w:rFonts w:ascii="Times New Roman" w:hAnsi="Times New Roman" w:eastAsia="SimSun"/>
          <w:b w:val="0"/>
          <w:sz w:val="24"/>
        </w:rPr>
        <w:t>3. 针对高可靠性要求场景（如辅助诊断），强制启用多智能体协作验证流程，以牺牲少量延迟换取更高置信度</w:t>
      </w:r>
    </w:p>
    <w:p>
      <w:pPr>
        <w:spacing w:line="440" w:lineRule="exact" w:before="0" w:after="0"/>
        <w:ind w:firstLine="480"/>
        <w:jc w:val="both"/>
      </w:pPr>
      <w:r>
        <w:rPr>
          <w:rFonts w:ascii="Times New Roman" w:hAnsi="Times New Roman" w:eastAsia="SimSun"/>
          <w:b w:val="0"/>
          <w:sz w:val="24"/>
        </w:rPr>
        <w:t>4. 后续研究应关注小参数量模型（&lt;7B）在边缘设备上的量化部署与推理加速技术</w:t>
      </w:r>
    </w:p>
    <w:p>
      <w:pPr>
        <w:spacing w:line="440" w:lineRule="exact" w:before="360" w:after="200"/>
      </w:pPr>
      <w:r>
        <w:rPr>
          <w:rFonts w:ascii="Times New Roman" w:hAnsi="Times New Roman" w:eastAsia="SimHei"/>
          <w:b/>
          <w:sz w:val="28"/>
        </w:rPr>
        <w:t>参考文献</w:t>
      </w:r>
    </w:p>
    <w:p>
      <w:pPr>
        <w:spacing w:line="360" w:lineRule="exact" w:before="0" w:after="40"/>
      </w:pPr>
      <w:r>
        <w:rPr>
          <w:rFonts w:ascii="Times New Roman" w:hAnsi="Times New Roman" w:eastAsia="SimSun"/>
          <w:b w:val="0"/>
          <w:sz w:val="21"/>
        </w:rPr>
        <w:t>[1] Lewis P, Perez E, Piktus A, et al. Retrieval-augmented generation for knowledge-intensive NLP tasks[C]//Advances in Neural Information Processing Systems. 2020: 9459-9474.</w:t>
      </w:r>
    </w:p>
    <w:p>
      <w:pPr>
        <w:spacing w:line="360" w:lineRule="exact" w:before="0" w:after="40"/>
      </w:pPr>
      <w:r>
        <w:rPr>
          <w:rFonts w:ascii="Times New Roman" w:hAnsi="Times New Roman" w:eastAsia="SimSun"/>
          <w:b w:val="0"/>
          <w:sz w:val="21"/>
        </w:rPr>
        <w:t>[2] Wei J, Wang X, Schuurmans D, et al. Chain-of-thought prompting elicits reasoning in large language models[J]. Advances in Neural Information Processing Systems, 2022, 35: 24824-24837.</w:t>
      </w:r>
    </w:p>
    <w:p>
      <w:pPr>
        <w:spacing w:line="360" w:lineRule="exact" w:before="0" w:after="40"/>
      </w:pPr>
      <w:r>
        <w:rPr>
          <w:rFonts w:ascii="Times New Roman" w:hAnsi="Times New Roman" w:eastAsia="SimSun"/>
          <w:b w:val="0"/>
          <w:sz w:val="21"/>
        </w:rPr>
        <w:t>[3] Hu E J, Shen Y, Wallis P, et al. LoRA: Low-rank adaptation of large language models[J]. arXiv preprint arXiv:2106.09685, 2021.</w:t>
      </w:r>
    </w:p>
    <w:p>
      <w:pPr>
        <w:spacing w:line="360" w:lineRule="exact" w:before="0" w:after="40"/>
      </w:pPr>
      <w:r>
        <w:rPr>
          <w:rFonts w:ascii="Times New Roman" w:hAnsi="Times New Roman" w:eastAsia="SimSun"/>
          <w:b w:val="0"/>
          <w:sz w:val="21"/>
        </w:rPr>
        <w:t>[4] Wang X, Wei J, Schuurmans D, et al. Self-consistency improves chain of thought reasoning in language models[J]. arXiv preprint arXiv:2203.11171, 2022.</w:t>
      </w:r>
    </w:p>
    <w:p>
      <w:pPr>
        <w:spacing w:line="360" w:lineRule="exact" w:before="0" w:after="40"/>
      </w:pPr>
      <w:r>
        <w:rPr>
          <w:rFonts w:ascii="Times New Roman" w:hAnsi="Times New Roman" w:eastAsia="SimSun"/>
          <w:b w:val="0"/>
          <w:sz w:val="21"/>
        </w:rPr>
        <w:t>[5] GB/T 7713.3-2014 科学技术报告的编写规则[S]. 北京: 中国标准出版社, 2014.</w:t>
      </w:r>
    </w:p>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40" w:lineRule="exact" w:before="0" w:after="0"/>
    </w:pPr>
    <w:rPr>
      <w:rFonts w:ascii="Times New Roman" w:hAnsi="Times New Roman"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