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0" w:after="1200"/>
      </w:pPr>
    </w:p>
    <w:p>
      <w:pPr>
        <w:spacing w:line="440" w:lineRule="exact" w:before="0" w:after="480"/>
        <w:jc w:val="center"/>
      </w:pPr>
      <w:r>
        <w:rPr>
          <w:rFonts w:ascii="Times New Roman" w:hAnsi="Times New Roman" w:eastAsia="SimHei"/>
          <w:b/>
          <w:sz w:val="28"/>
        </w:rPr>
        <w:t>同济大学环境科学与工程学院</w:t>
      </w:r>
    </w:p>
    <w:p>
      <w:pPr>
        <w:spacing w:line="440" w:lineRule="exact" w:before="0" w:after="480"/>
        <w:jc w:val="center"/>
      </w:pPr>
      <w:r>
        <w:rPr>
          <w:rFonts w:ascii="Times New Roman" w:hAnsi="Times New Roman" w:eastAsia="SimHei"/>
          <w:b/>
          <w:sz w:val="44"/>
        </w:rPr>
        <w:t>实 验 报 告</w:t>
      </w:r>
    </w:p>
    <w:p>
      <w:pPr>
        <w:spacing w:line="440" w:lineRule="exact" w:before="0" w:after="720"/>
        <w:jc w:val="center"/>
      </w:pPr>
      <w:r>
        <w:rPr>
          <w:rFonts w:ascii="Times New Roman" w:hAnsi="Times New Roman" w:eastAsia="SimHei"/>
          <w:b/>
          <w:sz w:val="32"/>
        </w:rPr>
        <w:t>不同浓度重金属废水对活性污泥微生物群落结构影响的实验研究</w:t>
      </w:r>
    </w:p>
    <w:p>
      <w:pPr>
        <w:spacing w:line="440" w:lineRule="exact" w:before="0" w:after="120"/>
        <w:jc w:val="center"/>
      </w:pPr>
      <w:r>
        <w:rPr>
          <w:rFonts w:ascii="Times New Roman" w:hAnsi="Times New Roman" w:eastAsia="SimSun"/>
          <w:b w:val="0"/>
          <w:sz w:val="24"/>
        </w:rPr>
        <w:t>王立群　同济大学环境科学与工程学院</w:t>
      </w:r>
    </w:p>
    <w:p>
      <w:pPr>
        <w:spacing w:line="440" w:lineRule="exact" w:before="360" w:after="160"/>
        <w:jc w:val="center"/>
      </w:pPr>
      <w:r>
        <w:rPr>
          <w:rFonts w:ascii="Times New Roman" w:hAnsi="Times New Roman" w:eastAsia="SimSun"/>
          <w:b w:val="0"/>
          <w:sz w:val="24"/>
        </w:rPr>
        <w:t>报告编号：TJU-ENV-2026-0042</w:t>
      </w:r>
    </w:p>
    <w:p>
      <w:pPr>
        <w:spacing w:line="440" w:lineRule="exact" w:before="0" w:after="160"/>
        <w:jc w:val="center"/>
      </w:pPr>
      <w:r>
        <w:rPr>
          <w:rFonts w:ascii="Times New Roman" w:hAnsi="Times New Roman" w:eastAsia="SimSun"/>
          <w:b w:val="0"/>
          <w:sz w:val="24"/>
        </w:rPr>
        <w:t>密级：公开</w:t>
      </w:r>
    </w:p>
    <w:p>
      <w:pPr>
        <w:spacing w:line="440" w:lineRule="exact" w:before="0" w:after="160"/>
        <w:jc w:val="center"/>
      </w:pPr>
      <w:r>
        <w:rPr>
          <w:rFonts w:ascii="Times New Roman" w:hAnsi="Times New Roman" w:eastAsia="SimSun"/>
          <w:b w:val="0"/>
          <w:sz w:val="24"/>
        </w:rPr>
        <w:t>2026年4月</w:t>
      </w:r>
    </w:p>
    <w:p>
      <w:r>
        <w:br w:type="page"/>
      </w:r>
    </w:p>
    <w:p>
      <w:pPr>
        <w:spacing w:line="440" w:lineRule="exact" w:before="240" w:after="240"/>
        <w:jc w:val="center"/>
      </w:pPr>
      <w:r>
        <w:rPr>
          <w:rFonts w:ascii="Times New Roman" w:hAnsi="Times New Roman" w:eastAsia="SimHei"/>
          <w:b/>
          <w:sz w:val="28"/>
        </w:rPr>
        <w:t>摘  要</w:t>
      </w:r>
    </w:p>
    <w:p>
      <w:pPr>
        <w:spacing w:line="440" w:lineRule="exact" w:before="0" w:after="0"/>
        <w:ind w:firstLine="480"/>
        <w:jc w:val="both"/>
      </w:pPr>
      <w:r>
        <w:rPr>
          <w:rFonts w:ascii="Times New Roman" w:hAnsi="Times New Roman" w:eastAsia="SimSun"/>
          <w:b w:val="0"/>
          <w:sz w:val="24"/>
        </w:rPr>
        <w:t>本研究旨在探究Cu²⁺、Pb²⁺、Cd²⁺三种典型重金属离子在不同浓度梯度下对城市污水处理厂活性污泥微生物群落结构及处理效能的影响机制。采用5组2 L序批式反应器（SBR），设置空白对照及不同浓度重金属胁迫组，在DO 2~4 mg/L、温度(25±1) °C条件下连续运行30 d。通过测定COD去除率并结合16S rRNA高通量测序技术分析微生物群落演变。结果表明：重金属浓度与COD去除率呈显著负相关（r=-0.87, p&lt;0.01）；Cu²⁺ 20 mg/L组COD去除率由对照组的92%降至65%，Cd²⁺ 10 mg/L组降至58%；微生物多样性Shannon指数从4.8降至3.2，优势菌属由硝化螺旋菌属转变为耐金属的芽孢杆菌属。结论认为Cd²⁺毒性最强，低浓度即可导致群落结构显著偏移及功能菌群抑制。建议在含重金属废水处理工艺前端强化预处理以控制进水重金属浓度，并投加生物强化菌剂以恢复系统稳定性。</w:t>
      </w:r>
    </w:p>
    <w:p>
      <w:pPr>
        <w:spacing w:line="440" w:lineRule="exact" w:before="240" w:after="240"/>
      </w:pPr>
      <w:r>
        <w:rPr>
          <w:rFonts w:ascii="Times New Roman" w:hAnsi="Times New Roman" w:eastAsia="SimSun"/>
          <w:b w:val="0"/>
          <w:sz w:val="24"/>
        </w:rPr>
        <w:t>关键词：活性污泥；重金属胁迫；微生物群落；16S rRNA测序；COD去除率</w:t>
      </w:r>
    </w:p>
    <w:p>
      <w:r>
        <w:br w:type="page"/>
      </w:r>
    </w:p>
    <w:p>
      <w:pPr>
        <w:spacing w:line="440" w:lineRule="exact" w:before="360" w:after="200"/>
      </w:pPr>
      <w:r>
        <w:rPr>
          <w:rFonts w:ascii="Times New Roman" w:hAnsi="Times New Roman" w:eastAsia="SimHei"/>
          <w:b/>
          <w:sz w:val="28"/>
        </w:rPr>
        <w:t>1 实验目的</w:t>
      </w:r>
    </w:p>
    <w:p>
      <w:pPr>
        <w:spacing w:line="440" w:lineRule="exact" w:before="0" w:after="0"/>
        <w:ind w:firstLine="480"/>
        <w:jc w:val="both"/>
      </w:pPr>
      <w:r>
        <w:rPr>
          <w:rFonts w:ascii="Times New Roman" w:hAnsi="Times New Roman" w:eastAsia="SimSun"/>
          <w:b w:val="0"/>
          <w:sz w:val="24"/>
        </w:rPr>
        <w:t>随着工业化进程加速，含重金属废水排入城市污水处理系统的风险日益增加。重金属离子具有生物累积性和不可降解性，对活性污泥中的微生物群落具有显著毒性效应。本实验旨在模拟实际工况，探究Cu²⁺、Pb²⁺、Cd²⁺三种常见重金属离子在不同浓度梯度下对活性污泥处理效能（以COD去除率为指标）及微生物群落结构（多样性及优势菌属演替）的影响，揭示其抑制机制，为污水处理厂应对重金属冲击负荷提供理论依据和技术支撑。</w:t>
      </w:r>
    </w:p>
    <w:p>
      <w:pPr>
        <w:spacing w:line="440" w:lineRule="exact" w:before="360" w:after="200"/>
      </w:pPr>
      <w:r>
        <w:rPr>
          <w:rFonts w:ascii="Times New Roman" w:hAnsi="Times New Roman" w:eastAsia="SimHei"/>
          <w:b/>
          <w:sz w:val="28"/>
        </w:rPr>
        <w:t>2 实验原理</w:t>
      </w:r>
    </w:p>
    <w:p>
      <w:pPr>
        <w:spacing w:line="440" w:lineRule="exact" w:before="0" w:after="0"/>
        <w:ind w:firstLine="480"/>
        <w:jc w:val="both"/>
      </w:pPr>
      <w:r>
        <w:rPr>
          <w:rFonts w:ascii="Times New Roman" w:hAnsi="Times New Roman" w:eastAsia="SimSun"/>
          <w:b w:val="0"/>
          <w:sz w:val="24"/>
        </w:rPr>
        <w:t>重金属离子对微生物的毒性作用主要通过以下机制实现：一是与细胞膜蛋白巯基结合，破坏膜通透性及物质运输功能；二是进入细胞内取代酶活性中心的必需金属离子，导致关键代谢酶失活；三是诱导细胞内产生过量活性氧（ROS），引发氧化应激损伤，导致DNA断裂和细胞凋亡。</w:t>
      </w:r>
    </w:p>
    <w:p>
      <w:pPr>
        <w:spacing w:line="440" w:lineRule="exact" w:before="0" w:after="0"/>
        <w:ind w:firstLine="480"/>
        <w:jc w:val="both"/>
      </w:pPr>
      <w:r>
        <w:rPr>
          <w:rFonts w:ascii="Times New Roman" w:hAnsi="Times New Roman" w:eastAsia="SimSun"/>
          <w:b w:val="0"/>
          <w:sz w:val="24"/>
        </w:rPr>
        <w:t>16S rRNA基因是细菌分类鉴定的分子钟，其序列具有高度保守区和可变区。通过高通量测序技术扩增并分析16S rRNA基因V3-V4区序列，可定量解析活性污泥中微生物的种类组成、相对丰度及多样性指数，从而表征群落结构对环境胁迫的响应特征。</w:t>
      </w:r>
    </w:p>
    <w:p>
      <w:pPr>
        <w:spacing w:line="440" w:lineRule="exact" w:before="360" w:after="200"/>
      </w:pPr>
      <w:r>
        <w:rPr>
          <w:rFonts w:ascii="Times New Roman" w:hAnsi="Times New Roman" w:eastAsia="SimHei"/>
          <w:b/>
          <w:sz w:val="28"/>
        </w:rPr>
        <w:t>3 实验装置与材料</w:t>
      </w:r>
    </w:p>
    <w:p>
      <w:pPr>
        <w:spacing w:line="440" w:lineRule="exact" w:before="0" w:after="0"/>
        <w:ind w:firstLine="480"/>
        <w:jc w:val="both"/>
      </w:pPr>
      <w:r>
        <w:rPr>
          <w:rFonts w:ascii="Times New Roman" w:hAnsi="Times New Roman" w:eastAsia="SimSun"/>
          <w:b w:val="0"/>
          <w:sz w:val="24"/>
        </w:rPr>
        <w:t>实验采用5组有效容积为2 L的序批式反应器（SBR），材质为有机玻璃。反应器配备微孔曝气头、搅拌器及温控系统。接种污泥取自杭州某城市污水处理厂二沉池回流污泥，初始MLSS控制在3 000~3 500 mg/L。</w:t>
      </w:r>
    </w:p>
    <w:p>
      <w:pPr>
        <w:spacing w:line="440" w:lineRule="exact" w:before="0" w:after="0"/>
        <w:ind w:firstLine="480"/>
        <w:jc w:val="both"/>
      </w:pPr>
      <w:r>
        <w:rPr>
          <w:rFonts w:ascii="Times New Roman" w:hAnsi="Times New Roman" w:eastAsia="SimSun"/>
          <w:b w:val="0"/>
          <w:sz w:val="24"/>
        </w:rPr>
        <w:t>实验设置5个处理组，具体重金属浓度梯度如表1所示。实验用水为人工模拟生活污水，COD约为400 mg/L，NH₄⁺-N约为40 mg/L。重金属源分别采用CuSO₄·5H₂O、Pb(NO₃)₂和CdCl₂·2.5H₂O配制储备液。</w:t>
      </w:r>
    </w:p>
    <w:p>
      <w:pPr>
        <w:spacing w:line="440" w:lineRule="exact" w:before="120" w:after="80"/>
        <w:jc w:val="center"/>
      </w:pPr>
      <w:r>
        <w:rPr>
          <w:rFonts w:ascii="Times New Roman" w:hAnsi="Times New Roman" w:eastAsia="SimHei"/>
          <w:b/>
          <w:sz w:val="24"/>
        </w:rPr>
        <w:t>表 1  实验分组及重金属浓度设置</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组别</w:t>
            </w:r>
          </w:p>
        </w:tc>
        <w:tc>
          <w:tcPr>
            <w:tcW w:type="dxa" w:w="2197"/>
          </w:tcPr>
          <w:p>
            <w:pPr>
              <w:jc w:val="center"/>
            </w:pPr>
            <w:r/>
            <w:r>
              <w:rPr>
                <w:rFonts w:eastAsia="SimSun" w:ascii="Times New Roman" w:hAnsi="Times New Roman"/>
                <w:b/>
                <w:color w:val="111827"/>
                <w:sz w:val="21"/>
              </w:rPr>
              <w:t>重金属类型</w:t>
            </w:r>
          </w:p>
        </w:tc>
        <w:tc>
          <w:tcPr>
            <w:tcW w:type="dxa" w:w="2197"/>
          </w:tcPr>
          <w:p>
            <w:pPr>
              <w:jc w:val="center"/>
            </w:pPr>
            <w:r/>
            <w:r>
              <w:rPr>
                <w:rFonts w:eastAsia="SimSun" w:ascii="Times New Roman" w:hAnsi="Times New Roman"/>
                <w:b/>
                <w:color w:val="111827"/>
                <w:sz w:val="21"/>
              </w:rPr>
              <w:t>浓度/(mg·L⁻¹)</w:t>
            </w:r>
          </w:p>
        </w:tc>
        <w:tc>
          <w:tcPr>
            <w:tcW w:type="dxa" w:w="2197"/>
          </w:tcPr>
          <w:p>
            <w:pPr>
              <w:jc w:val="center"/>
            </w:pPr>
            <w:r/>
            <w:r>
              <w:rPr>
                <w:rFonts w:eastAsia="SimSun" w:ascii="Times New Roman" w:hAnsi="Times New Roman"/>
                <w:b/>
                <w:color w:val="111827"/>
                <w:sz w:val="21"/>
              </w:rPr>
              <w:t>备注</w:t>
            </w:r>
          </w:p>
        </w:tc>
      </w:tr>
      <w:tr>
        <w:tc>
          <w:tcPr>
            <w:tcW w:type="dxa" w:w="2197"/>
          </w:tcPr>
          <w:p>
            <w:pPr>
              <w:jc w:val="left"/>
            </w:pPr>
            <w:r/>
            <w:r>
              <w:rPr>
                <w:rFonts w:eastAsia="SimSun" w:ascii="Times New Roman" w:hAnsi="Times New Roman"/>
                <w:color w:val="4B5563"/>
                <w:sz w:val="18"/>
              </w:rPr>
              <w:t>R1</w:t>
            </w:r>
          </w:p>
        </w:tc>
        <w:tc>
          <w:tcPr>
            <w:tcW w:type="dxa" w:w="2197"/>
          </w:tcPr>
          <w:p>
            <w:pPr>
              <w:jc w:val="left"/>
            </w:pPr>
            <w:r/>
            <w:r>
              <w:rPr>
                <w:rFonts w:eastAsia="SimSun" w:ascii="Times New Roman" w:hAnsi="Times New Roman"/>
                <w:color w:val="4B5563"/>
                <w:sz w:val="18"/>
              </w:rPr>
              <w:t>-</w:t>
            </w:r>
          </w:p>
        </w:tc>
        <w:tc>
          <w:tcPr>
            <w:tcW w:type="dxa" w:w="2197"/>
          </w:tcPr>
          <w:p>
            <w:pPr>
              <w:jc w:val="right"/>
            </w:pPr>
            <w:r/>
            <w:r>
              <w:rPr>
                <w:rFonts w:eastAsia="SimSun" w:ascii="Times New Roman" w:hAnsi="Times New Roman"/>
                <w:color w:val="4B5563"/>
                <w:sz w:val="18"/>
              </w:rPr>
              <w:t>0</w:t>
            </w:r>
          </w:p>
        </w:tc>
        <w:tc>
          <w:tcPr>
            <w:tcW w:type="dxa" w:w="2197"/>
          </w:tcPr>
          <w:p>
            <w:pPr>
              <w:jc w:val="left"/>
            </w:pPr>
            <w:r/>
            <w:r>
              <w:rPr>
                <w:rFonts w:eastAsia="SimSun" w:ascii="Times New Roman" w:hAnsi="Times New Roman"/>
                <w:color w:val="4B5563"/>
                <w:sz w:val="18"/>
              </w:rPr>
              <w:t>空白对照</w:t>
            </w:r>
          </w:p>
        </w:tc>
      </w:tr>
      <w:tr>
        <w:tc>
          <w:tcPr>
            <w:tcW w:type="dxa" w:w="2197"/>
          </w:tcPr>
          <w:p>
            <w:pPr>
              <w:jc w:val="left"/>
            </w:pPr>
            <w:r/>
            <w:r>
              <w:rPr>
                <w:rFonts w:eastAsia="SimSun" w:ascii="Times New Roman" w:hAnsi="Times New Roman"/>
                <w:color w:val="4B5563"/>
                <w:sz w:val="18"/>
              </w:rPr>
              <w:t>R2</w:t>
            </w:r>
          </w:p>
        </w:tc>
        <w:tc>
          <w:tcPr>
            <w:tcW w:type="dxa" w:w="2197"/>
          </w:tcPr>
          <w:p>
            <w:pPr>
              <w:jc w:val="left"/>
            </w:pPr>
            <w:r/>
            <w:r>
              <w:rPr>
                <w:rFonts w:eastAsia="SimSun" w:ascii="Times New Roman" w:hAnsi="Times New Roman"/>
                <w:color w:val="4B5563"/>
                <w:sz w:val="18"/>
              </w:rPr>
              <w:t>Cu²⁺</w:t>
            </w:r>
          </w:p>
        </w:tc>
        <w:tc>
          <w:tcPr>
            <w:tcW w:type="dxa" w:w="2197"/>
          </w:tcPr>
          <w:p>
            <w:pPr>
              <w:jc w:val="right"/>
            </w:pPr>
            <w:r/>
            <w:r>
              <w:rPr>
                <w:rFonts w:eastAsia="SimSun" w:ascii="Times New Roman" w:hAnsi="Times New Roman"/>
                <w:color w:val="4B5563"/>
                <w:sz w:val="18"/>
              </w:rPr>
              <w:t>5</w:t>
            </w:r>
          </w:p>
        </w:tc>
        <w:tc>
          <w:tcPr>
            <w:tcW w:type="dxa" w:w="2197"/>
          </w:tcPr>
          <w:p>
            <w:pPr>
              <w:jc w:val="left"/>
            </w:pPr>
            <w:r/>
            <w:r>
              <w:rPr>
                <w:rFonts w:eastAsia="SimSun" w:ascii="Times New Roman" w:hAnsi="Times New Roman"/>
                <w:color w:val="4B5563"/>
                <w:sz w:val="18"/>
              </w:rPr>
              <w:t>低浓度组</w:t>
            </w:r>
          </w:p>
        </w:tc>
      </w:tr>
      <w:tr>
        <w:tc>
          <w:tcPr>
            <w:tcW w:type="dxa" w:w="2197"/>
          </w:tcPr>
          <w:p>
            <w:pPr>
              <w:jc w:val="left"/>
            </w:pPr>
            <w:r/>
            <w:r>
              <w:rPr>
                <w:rFonts w:eastAsia="SimSun" w:ascii="Times New Roman" w:hAnsi="Times New Roman"/>
                <w:color w:val="4B5563"/>
                <w:sz w:val="18"/>
              </w:rPr>
              <w:t>R3</w:t>
            </w:r>
          </w:p>
        </w:tc>
        <w:tc>
          <w:tcPr>
            <w:tcW w:type="dxa" w:w="2197"/>
          </w:tcPr>
          <w:p>
            <w:pPr>
              <w:jc w:val="left"/>
            </w:pPr>
            <w:r/>
            <w:r>
              <w:rPr>
                <w:rFonts w:eastAsia="SimSun" w:ascii="Times New Roman" w:hAnsi="Times New Roman"/>
                <w:color w:val="4B5563"/>
                <w:sz w:val="18"/>
              </w:rPr>
              <w:t>Cu²⁺</w:t>
            </w:r>
          </w:p>
        </w:tc>
        <w:tc>
          <w:tcPr>
            <w:tcW w:type="dxa" w:w="2197"/>
          </w:tcPr>
          <w:p>
            <w:pPr>
              <w:jc w:val="right"/>
            </w:pPr>
            <w:r/>
            <w:r>
              <w:rPr>
                <w:rFonts w:eastAsia="SimSun" w:ascii="Times New Roman" w:hAnsi="Times New Roman"/>
                <w:color w:val="4B5563"/>
                <w:sz w:val="18"/>
              </w:rPr>
              <w:t>20</w:t>
            </w:r>
          </w:p>
        </w:tc>
        <w:tc>
          <w:tcPr>
            <w:tcW w:type="dxa" w:w="2197"/>
          </w:tcPr>
          <w:p>
            <w:pPr>
              <w:jc w:val="left"/>
            </w:pPr>
            <w:r/>
            <w:r>
              <w:rPr>
                <w:rFonts w:eastAsia="SimSun" w:ascii="Times New Roman" w:hAnsi="Times New Roman"/>
                <w:color w:val="4B5563"/>
                <w:sz w:val="18"/>
              </w:rPr>
              <w:t>高浓度组</w:t>
            </w:r>
          </w:p>
        </w:tc>
      </w:tr>
      <w:tr>
        <w:tc>
          <w:tcPr>
            <w:tcW w:type="dxa" w:w="2197"/>
          </w:tcPr>
          <w:p>
            <w:pPr>
              <w:jc w:val="left"/>
            </w:pPr>
            <w:r/>
            <w:r>
              <w:rPr>
                <w:rFonts w:eastAsia="SimSun" w:ascii="Times New Roman" w:hAnsi="Times New Roman"/>
                <w:color w:val="4B5563"/>
                <w:sz w:val="18"/>
              </w:rPr>
              <w:t>R4</w:t>
            </w:r>
          </w:p>
        </w:tc>
        <w:tc>
          <w:tcPr>
            <w:tcW w:type="dxa" w:w="2197"/>
          </w:tcPr>
          <w:p>
            <w:pPr>
              <w:jc w:val="left"/>
            </w:pPr>
            <w:r/>
            <w:r>
              <w:rPr>
                <w:rFonts w:eastAsia="SimSun" w:ascii="Times New Roman" w:hAnsi="Times New Roman"/>
                <w:color w:val="4B5563"/>
                <w:sz w:val="18"/>
              </w:rPr>
              <w:t>Pb²⁺</w:t>
            </w:r>
          </w:p>
        </w:tc>
        <w:tc>
          <w:tcPr>
            <w:tcW w:type="dxa" w:w="2197"/>
          </w:tcPr>
          <w:p>
            <w:pPr>
              <w:jc w:val="right"/>
            </w:pPr>
            <w:r/>
            <w:r>
              <w:rPr>
                <w:rFonts w:eastAsia="SimSun" w:ascii="Times New Roman" w:hAnsi="Times New Roman"/>
                <w:color w:val="4B5563"/>
                <w:sz w:val="18"/>
              </w:rPr>
              <w:t>10/50</w:t>
            </w:r>
          </w:p>
        </w:tc>
        <w:tc>
          <w:tcPr>
            <w:tcW w:type="dxa" w:w="2197"/>
          </w:tcPr>
          <w:p>
            <w:pPr>
              <w:jc w:val="left"/>
            </w:pPr>
            <w:r/>
            <w:r>
              <w:rPr>
                <w:rFonts w:eastAsia="SimSun" w:ascii="Times New Roman" w:hAnsi="Times New Roman"/>
                <w:color w:val="4B5563"/>
                <w:sz w:val="18"/>
              </w:rPr>
              <w:t>梯度组</w:t>
            </w:r>
          </w:p>
        </w:tc>
      </w:tr>
      <w:tr>
        <w:tc>
          <w:tcPr>
            <w:tcW w:type="dxa" w:w="2197"/>
          </w:tcPr>
          <w:p>
            <w:pPr>
              <w:jc w:val="left"/>
            </w:pPr>
            <w:r/>
            <w:r>
              <w:rPr>
                <w:rFonts w:eastAsia="SimSun" w:ascii="Times New Roman" w:hAnsi="Times New Roman"/>
                <w:color w:val="4B5563"/>
                <w:sz w:val="18"/>
              </w:rPr>
              <w:t>R5</w:t>
            </w:r>
          </w:p>
        </w:tc>
        <w:tc>
          <w:tcPr>
            <w:tcW w:type="dxa" w:w="2197"/>
          </w:tcPr>
          <w:p>
            <w:pPr>
              <w:jc w:val="left"/>
            </w:pPr>
            <w:r/>
            <w:r>
              <w:rPr>
                <w:rFonts w:eastAsia="SimSun" w:ascii="Times New Roman" w:hAnsi="Times New Roman"/>
                <w:color w:val="4B5563"/>
                <w:sz w:val="18"/>
              </w:rPr>
              <w:t>Cd²⁺</w:t>
            </w:r>
          </w:p>
        </w:tc>
        <w:tc>
          <w:tcPr>
            <w:tcW w:type="dxa" w:w="2197"/>
          </w:tcPr>
          <w:p>
            <w:pPr>
              <w:jc w:val="right"/>
            </w:pPr>
            <w:r/>
            <w:r>
              <w:rPr>
                <w:rFonts w:eastAsia="SimSun" w:ascii="Times New Roman" w:hAnsi="Times New Roman"/>
                <w:color w:val="4B5563"/>
                <w:sz w:val="18"/>
              </w:rPr>
              <w:t>2/10</w:t>
            </w:r>
          </w:p>
        </w:tc>
        <w:tc>
          <w:tcPr>
            <w:tcW w:type="dxa" w:w="2197"/>
          </w:tcPr>
          <w:p>
            <w:pPr>
              <w:jc w:val="left"/>
            </w:pPr>
            <w:r/>
            <w:r>
              <w:rPr>
                <w:rFonts w:eastAsia="SimSun" w:ascii="Times New Roman" w:hAnsi="Times New Roman"/>
                <w:color w:val="4B5563"/>
                <w:sz w:val="18"/>
              </w:rPr>
              <w:t>梯度组</w:t>
            </w:r>
          </w:p>
        </w:tc>
      </w:tr>
    </w:tbl>
    <w:p>
      <w:r>
        <w:rPr>
          <w:rFonts w:eastAsia="SimSun" w:ascii="Times New Roman" w:hAnsi="Times New Roman"/>
          <w:color w:val="9CA3AF"/>
          <w:sz w:val="16"/>
        </w:rPr>
        <w:t>注：Pb²⁺和Cd²⁺组在实验后期分别调整至50 mg/L和10 mg/L进行冲击测试，此处列出主要稳态运行浓度。</w:t>
      </w:r>
    </w:p>
    <w:p>
      <w:pPr>
        <w:spacing w:line="440" w:lineRule="exact" w:before="360" w:after="200"/>
      </w:pPr>
      <w:r>
        <w:rPr>
          <w:rFonts w:ascii="Times New Roman" w:hAnsi="Times New Roman" w:eastAsia="SimHei"/>
          <w:b/>
          <w:sz w:val="28"/>
        </w:rPr>
        <w:t>4 实验步骤</w:t>
      </w:r>
    </w:p>
    <w:p>
      <w:pPr>
        <w:spacing w:line="440" w:lineRule="exact" w:before="0" w:after="0"/>
        <w:ind w:firstLine="480"/>
        <w:jc w:val="both"/>
      </w:pPr>
      <w:r>
        <w:rPr>
          <w:rFonts w:ascii="Times New Roman" w:hAnsi="Times New Roman" w:eastAsia="SimSun"/>
          <w:b w:val="0"/>
          <w:sz w:val="24"/>
        </w:rPr>
        <w:t>4.1 反应器启动与驯化</w:t>
        <w:br/>
        <w:t>将接种污泥注入各SBR反应器，按进水2 h、曝气6 h、沉淀1 h、排水1 h的周期运行。控制溶解氧（DO）在2~4 mg/L，水温维持在(25±1) °C，水力停留时间（HRT）为8 h，污泥龄（SRT）为15 d。前7天为适应期，不投加重金属。</w:t>
      </w:r>
    </w:p>
    <w:p>
      <w:pPr>
        <w:spacing w:line="440" w:lineRule="exact" w:before="0" w:after="0"/>
        <w:ind w:firstLine="480"/>
        <w:jc w:val="both"/>
      </w:pPr>
      <w:r>
        <w:rPr>
          <w:rFonts w:ascii="Times New Roman" w:hAnsi="Times New Roman" w:eastAsia="SimSun"/>
          <w:b w:val="0"/>
          <w:sz w:val="24"/>
        </w:rPr>
        <w:t>4.2 重金属胁迫实验</w:t>
        <w:br/>
        <w:t>从第8天开始，向R2~R5组分别投加相应浓度的重金属溶液，连续运行30 d。每日监测出水COD、NH₄⁺-N等指标。</w:t>
      </w:r>
    </w:p>
    <w:p>
      <w:pPr>
        <w:spacing w:line="440" w:lineRule="exact" w:before="0" w:after="0"/>
        <w:ind w:firstLine="480"/>
        <w:jc w:val="both"/>
      </w:pPr>
      <w:r>
        <w:rPr>
          <w:rFonts w:ascii="Times New Roman" w:hAnsi="Times New Roman" w:eastAsia="SimSun"/>
          <w:b w:val="0"/>
          <w:sz w:val="24"/>
        </w:rPr>
        <w:t>4.3 样品采集与分析</w:t>
        <w:br/>
        <w:t>在第30天结束时，从各反应器采集混合液污泥样品，经离心洗涤后保存于-80 °C冰箱。采用PowerSoil DNA提取试剂盒提取总DNA，利用Illumina MiSeq平台进行16S rRNA基因V3-V4区高通量测序。生物信息学分析包括OTU聚类、Alpha多样性计算及物种注释。</w:t>
      </w:r>
    </w:p>
    <w:p>
      <w:pPr>
        <w:spacing w:line="440" w:lineRule="exact" w:before="360" w:after="200"/>
      </w:pPr>
      <w:r>
        <w:rPr>
          <w:rFonts w:ascii="Times New Roman" w:hAnsi="Times New Roman" w:eastAsia="SimHei"/>
          <w:b/>
          <w:sz w:val="28"/>
        </w:rPr>
        <w:t>5 数据记录与处理</w:t>
      </w:r>
    </w:p>
    <w:p>
      <w:pPr>
        <w:spacing w:line="440" w:lineRule="exact" w:before="0" w:after="0"/>
        <w:ind w:firstLine="480"/>
        <w:jc w:val="both"/>
      </w:pPr>
      <w:r>
        <w:rPr>
          <w:rFonts w:ascii="Times New Roman" w:hAnsi="Times New Roman" w:eastAsia="SimSun"/>
          <w:b w:val="0"/>
          <w:sz w:val="24"/>
        </w:rPr>
        <w:t>实验结束后，对各组出水水质及微生物多样性数据进行统计整理。COD去除率计算公式为：</w:t>
      </w:r>
    </w:p>
    <w:p>
      <w:pPr>
        <w:spacing w:line="440" w:lineRule="exact" w:before="0" w:after="0"/>
        <w:ind w:firstLine="480"/>
        <w:jc w:val="both"/>
      </w:pPr>
      <w:r>
        <w:rPr>
          <w:rFonts w:ascii="Times New Roman" w:hAnsi="Times New Roman" w:eastAsia="SimSun"/>
          <w:b w:val="0"/>
          <w:sz w:val="24"/>
        </w:rPr>
        <w:t>η = (C_in - C_out) / C_in × 100%</w:t>
      </w:r>
    </w:p>
    <w:p>
      <w:pPr>
        <w:spacing w:line="440" w:lineRule="exact" w:before="0" w:after="0"/>
        <w:ind w:firstLine="480"/>
        <w:jc w:val="both"/>
      </w:pPr>
      <w:r>
        <w:rPr>
          <w:rFonts w:ascii="Times New Roman" w:hAnsi="Times New Roman" w:eastAsia="SimSun"/>
          <w:b w:val="0"/>
          <w:sz w:val="24"/>
        </w:rPr>
        <w:t>式中：η为去除率；C_in为进水COD浓度；C_out为出水COD浓度。</w:t>
      </w:r>
    </w:p>
    <w:p>
      <w:pPr>
        <w:spacing w:line="440" w:lineRule="exact" w:before="0" w:after="0"/>
        <w:ind w:firstLine="480"/>
        <w:jc w:val="both"/>
      </w:pPr>
      <w:r>
        <w:rPr>
          <w:rFonts w:ascii="Times New Roman" w:hAnsi="Times New Roman" w:eastAsia="SimSun"/>
          <w:b w:val="0"/>
          <w:sz w:val="24"/>
        </w:rPr>
        <w:t>微生物群落数据分析采用QIIME 2流程，计算Shannon多样性指数，并在属水平上统计相对丰度。实验数据如表2所示。</w:t>
      </w:r>
    </w:p>
    <w:p>
      <w:pPr>
        <w:spacing w:line="440" w:lineRule="exact" w:before="120" w:after="80"/>
        <w:jc w:val="center"/>
      </w:pPr>
      <w:r>
        <w:rPr>
          <w:rFonts w:ascii="Times New Roman" w:hAnsi="Times New Roman" w:eastAsia="SimHei"/>
          <w:b/>
          <w:sz w:val="24"/>
        </w:rPr>
        <w:t>表 2  各组COD去除率及微生物多样性指数对比</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组别</w:t>
            </w:r>
          </w:p>
        </w:tc>
        <w:tc>
          <w:tcPr>
            <w:tcW w:type="dxa" w:w="2197"/>
          </w:tcPr>
          <w:p>
            <w:pPr>
              <w:jc w:val="center"/>
            </w:pPr>
            <w:r/>
            <w:r>
              <w:rPr>
                <w:rFonts w:eastAsia="SimSun" w:ascii="Times New Roman" w:hAnsi="Times New Roman"/>
                <w:b/>
                <w:color w:val="111827"/>
                <w:sz w:val="21"/>
              </w:rPr>
              <w:t>重金属条件</w:t>
            </w:r>
          </w:p>
        </w:tc>
        <w:tc>
          <w:tcPr>
            <w:tcW w:type="dxa" w:w="2197"/>
          </w:tcPr>
          <w:p>
            <w:pPr>
              <w:jc w:val="center"/>
            </w:pPr>
            <w:r/>
            <w:r>
              <w:rPr>
                <w:rFonts w:eastAsia="SimSun" w:ascii="Times New Roman" w:hAnsi="Times New Roman"/>
                <w:b/>
                <w:color w:val="111827"/>
                <w:sz w:val="21"/>
              </w:rPr>
              <w:t>COD去除率/%</w:t>
            </w:r>
          </w:p>
        </w:tc>
        <w:tc>
          <w:tcPr>
            <w:tcW w:type="dxa" w:w="2197"/>
          </w:tcPr>
          <w:p>
            <w:pPr>
              <w:jc w:val="center"/>
            </w:pPr>
            <w:r/>
            <w:r>
              <w:rPr>
                <w:rFonts w:eastAsia="SimSun" w:ascii="Times New Roman" w:hAnsi="Times New Roman"/>
                <w:b/>
                <w:color w:val="111827"/>
                <w:sz w:val="21"/>
              </w:rPr>
              <w:t>Shannon指数</w:t>
            </w:r>
          </w:p>
        </w:tc>
      </w:tr>
      <w:tr>
        <w:tc>
          <w:tcPr>
            <w:tcW w:type="dxa" w:w="2197"/>
          </w:tcPr>
          <w:p>
            <w:pPr>
              <w:jc w:val="left"/>
            </w:pPr>
            <w:r/>
            <w:r>
              <w:rPr>
                <w:rFonts w:eastAsia="SimSun" w:ascii="Times New Roman" w:hAnsi="Times New Roman"/>
                <w:color w:val="4B5563"/>
                <w:sz w:val="18"/>
              </w:rPr>
              <w:t>R1</w:t>
            </w:r>
          </w:p>
        </w:tc>
        <w:tc>
          <w:tcPr>
            <w:tcW w:type="dxa" w:w="2197"/>
          </w:tcPr>
          <w:p>
            <w:pPr>
              <w:jc w:val="left"/>
            </w:pPr>
            <w:r/>
            <w:r>
              <w:rPr>
                <w:rFonts w:eastAsia="SimSun" w:ascii="Times New Roman" w:hAnsi="Times New Roman"/>
                <w:color w:val="4B5563"/>
                <w:sz w:val="18"/>
              </w:rPr>
              <w:t>对照</w:t>
            </w:r>
          </w:p>
        </w:tc>
        <w:tc>
          <w:tcPr>
            <w:tcW w:type="dxa" w:w="2197"/>
          </w:tcPr>
          <w:p>
            <w:pPr>
              <w:jc w:val="right"/>
            </w:pPr>
            <w:r/>
            <w:r>
              <w:rPr>
                <w:rFonts w:eastAsia="SimSun" w:ascii="Times New Roman" w:hAnsi="Times New Roman"/>
                <w:color w:val="4B5563"/>
                <w:sz w:val="18"/>
              </w:rPr>
              <w:t>92.0</w:t>
            </w:r>
          </w:p>
        </w:tc>
        <w:tc>
          <w:tcPr>
            <w:tcW w:type="dxa" w:w="2197"/>
          </w:tcPr>
          <w:p>
            <w:pPr>
              <w:jc w:val="right"/>
            </w:pPr>
            <w:r/>
            <w:r>
              <w:rPr>
                <w:rFonts w:eastAsia="SimSun" w:ascii="Times New Roman" w:hAnsi="Times New Roman"/>
                <w:color w:val="4B5563"/>
                <w:sz w:val="18"/>
              </w:rPr>
              <w:t>4.80</w:t>
            </w:r>
          </w:p>
        </w:tc>
      </w:tr>
      <w:tr>
        <w:tc>
          <w:tcPr>
            <w:tcW w:type="dxa" w:w="2197"/>
          </w:tcPr>
          <w:p>
            <w:pPr>
              <w:jc w:val="left"/>
            </w:pPr>
            <w:r/>
            <w:r>
              <w:rPr>
                <w:rFonts w:eastAsia="SimSun" w:ascii="Times New Roman" w:hAnsi="Times New Roman"/>
                <w:color w:val="4B5563"/>
                <w:sz w:val="18"/>
              </w:rPr>
              <w:t>R2</w:t>
            </w:r>
          </w:p>
        </w:tc>
        <w:tc>
          <w:tcPr>
            <w:tcW w:type="dxa" w:w="2197"/>
          </w:tcPr>
          <w:p>
            <w:pPr>
              <w:jc w:val="left"/>
            </w:pPr>
            <w:r/>
            <w:r>
              <w:rPr>
                <w:rFonts w:eastAsia="SimSun" w:ascii="Times New Roman" w:hAnsi="Times New Roman"/>
                <w:color w:val="4B5563"/>
                <w:sz w:val="18"/>
              </w:rPr>
              <w:t>Cu²⁺ 5 mg/L</w:t>
            </w:r>
          </w:p>
        </w:tc>
        <w:tc>
          <w:tcPr>
            <w:tcW w:type="dxa" w:w="2197"/>
          </w:tcPr>
          <w:p>
            <w:pPr>
              <w:jc w:val="right"/>
            </w:pPr>
            <w:r/>
            <w:r>
              <w:rPr>
                <w:rFonts w:eastAsia="SimSun" w:ascii="Times New Roman" w:hAnsi="Times New Roman"/>
                <w:color w:val="4B5563"/>
                <w:sz w:val="18"/>
              </w:rPr>
              <w:t>85.5</w:t>
            </w:r>
          </w:p>
        </w:tc>
        <w:tc>
          <w:tcPr>
            <w:tcW w:type="dxa" w:w="2197"/>
          </w:tcPr>
          <w:p>
            <w:pPr>
              <w:jc w:val="right"/>
            </w:pPr>
            <w:r/>
            <w:r>
              <w:rPr>
                <w:rFonts w:eastAsia="SimSun" w:ascii="Times New Roman" w:hAnsi="Times New Roman"/>
                <w:color w:val="4B5563"/>
                <w:sz w:val="18"/>
              </w:rPr>
              <w:t>4.35</w:t>
            </w:r>
          </w:p>
        </w:tc>
      </w:tr>
      <w:tr>
        <w:tc>
          <w:tcPr>
            <w:tcW w:type="dxa" w:w="2197"/>
          </w:tcPr>
          <w:p>
            <w:pPr>
              <w:jc w:val="left"/>
            </w:pPr>
            <w:r/>
            <w:r>
              <w:rPr>
                <w:rFonts w:eastAsia="SimSun" w:ascii="Times New Roman" w:hAnsi="Times New Roman"/>
                <w:color w:val="4B5563"/>
                <w:sz w:val="18"/>
              </w:rPr>
              <w:t>R3</w:t>
            </w:r>
          </w:p>
        </w:tc>
        <w:tc>
          <w:tcPr>
            <w:tcW w:type="dxa" w:w="2197"/>
          </w:tcPr>
          <w:p>
            <w:pPr>
              <w:jc w:val="left"/>
            </w:pPr>
            <w:r/>
            <w:r>
              <w:rPr>
                <w:rFonts w:eastAsia="SimSun" w:ascii="Times New Roman" w:hAnsi="Times New Roman"/>
                <w:color w:val="4B5563"/>
                <w:sz w:val="18"/>
              </w:rPr>
              <w:t>Cu²⁺ 20 mg/L</w:t>
            </w:r>
          </w:p>
        </w:tc>
        <w:tc>
          <w:tcPr>
            <w:tcW w:type="dxa" w:w="2197"/>
          </w:tcPr>
          <w:p>
            <w:pPr>
              <w:jc w:val="right"/>
            </w:pPr>
            <w:r/>
            <w:r>
              <w:rPr>
                <w:rFonts w:eastAsia="SimSun" w:ascii="Times New Roman" w:hAnsi="Times New Roman"/>
                <w:color w:val="4B5563"/>
                <w:sz w:val="18"/>
              </w:rPr>
              <w:t>65.0</w:t>
            </w:r>
          </w:p>
        </w:tc>
        <w:tc>
          <w:tcPr>
            <w:tcW w:type="dxa" w:w="2197"/>
          </w:tcPr>
          <w:p>
            <w:pPr>
              <w:jc w:val="right"/>
            </w:pPr>
            <w:r/>
            <w:r>
              <w:rPr>
                <w:rFonts w:eastAsia="SimSun" w:ascii="Times New Roman" w:hAnsi="Times New Roman"/>
                <w:color w:val="4B5563"/>
                <w:sz w:val="18"/>
              </w:rPr>
              <w:t>3.60</w:t>
            </w:r>
          </w:p>
        </w:tc>
      </w:tr>
      <w:tr>
        <w:tc>
          <w:tcPr>
            <w:tcW w:type="dxa" w:w="2197"/>
          </w:tcPr>
          <w:p>
            <w:pPr>
              <w:jc w:val="left"/>
            </w:pPr>
            <w:r/>
            <w:r>
              <w:rPr>
                <w:rFonts w:eastAsia="SimSun" w:ascii="Times New Roman" w:hAnsi="Times New Roman"/>
                <w:color w:val="4B5563"/>
                <w:sz w:val="18"/>
              </w:rPr>
              <w:t>R4</w:t>
            </w:r>
          </w:p>
        </w:tc>
        <w:tc>
          <w:tcPr>
            <w:tcW w:type="dxa" w:w="2197"/>
          </w:tcPr>
          <w:p>
            <w:pPr>
              <w:jc w:val="left"/>
            </w:pPr>
            <w:r/>
            <w:r>
              <w:rPr>
                <w:rFonts w:eastAsia="SimSun" w:ascii="Times New Roman" w:hAnsi="Times New Roman"/>
                <w:color w:val="4B5563"/>
                <w:sz w:val="18"/>
              </w:rPr>
              <w:t>Pb²⁺ 10 mg/L</w:t>
            </w:r>
          </w:p>
        </w:tc>
        <w:tc>
          <w:tcPr>
            <w:tcW w:type="dxa" w:w="2197"/>
          </w:tcPr>
          <w:p>
            <w:pPr>
              <w:jc w:val="right"/>
            </w:pPr>
            <w:r/>
            <w:r>
              <w:rPr>
                <w:rFonts w:eastAsia="SimSun" w:ascii="Times New Roman" w:hAnsi="Times New Roman"/>
                <w:color w:val="4B5563"/>
                <w:sz w:val="18"/>
              </w:rPr>
              <w:t>78.2</w:t>
            </w:r>
          </w:p>
        </w:tc>
        <w:tc>
          <w:tcPr>
            <w:tcW w:type="dxa" w:w="2197"/>
          </w:tcPr>
          <w:p>
            <w:pPr>
              <w:jc w:val="right"/>
            </w:pPr>
            <w:r/>
            <w:r>
              <w:rPr>
                <w:rFonts w:eastAsia="SimSun" w:ascii="Times New Roman" w:hAnsi="Times New Roman"/>
                <w:color w:val="4B5563"/>
                <w:sz w:val="18"/>
              </w:rPr>
              <w:t>3.95</w:t>
            </w:r>
          </w:p>
        </w:tc>
      </w:tr>
      <w:tr>
        <w:tc>
          <w:tcPr>
            <w:tcW w:type="dxa" w:w="2197"/>
          </w:tcPr>
          <w:p>
            <w:pPr>
              <w:jc w:val="left"/>
            </w:pPr>
            <w:r/>
            <w:r>
              <w:rPr>
                <w:rFonts w:eastAsia="SimSun" w:ascii="Times New Roman" w:hAnsi="Times New Roman"/>
                <w:color w:val="4B5563"/>
                <w:sz w:val="18"/>
              </w:rPr>
              <w:t>R5</w:t>
            </w:r>
          </w:p>
        </w:tc>
        <w:tc>
          <w:tcPr>
            <w:tcW w:type="dxa" w:w="2197"/>
          </w:tcPr>
          <w:p>
            <w:pPr>
              <w:jc w:val="left"/>
            </w:pPr>
            <w:r/>
            <w:r>
              <w:rPr>
                <w:rFonts w:eastAsia="SimSun" w:ascii="Times New Roman" w:hAnsi="Times New Roman"/>
                <w:color w:val="4B5563"/>
                <w:sz w:val="18"/>
              </w:rPr>
              <w:t>Cd²⁺ 10 mg/L</w:t>
            </w:r>
          </w:p>
        </w:tc>
        <w:tc>
          <w:tcPr>
            <w:tcW w:type="dxa" w:w="2197"/>
          </w:tcPr>
          <w:p>
            <w:pPr>
              <w:jc w:val="right"/>
            </w:pPr>
            <w:r/>
            <w:r>
              <w:rPr>
                <w:rFonts w:eastAsia="SimSun" w:ascii="Times New Roman" w:hAnsi="Times New Roman"/>
                <w:color w:val="4B5563"/>
                <w:sz w:val="18"/>
              </w:rPr>
              <w:t>58.0</w:t>
            </w:r>
          </w:p>
        </w:tc>
        <w:tc>
          <w:tcPr>
            <w:tcW w:type="dxa" w:w="2197"/>
          </w:tcPr>
          <w:p>
            <w:pPr>
              <w:jc w:val="right"/>
            </w:pPr>
            <w:r/>
            <w:r>
              <w:rPr>
                <w:rFonts w:eastAsia="SimSun" w:ascii="Times New Roman" w:hAnsi="Times New Roman"/>
                <w:color w:val="4B5563"/>
                <w:sz w:val="18"/>
              </w:rPr>
              <w:t>3.20</w:t>
            </w:r>
          </w:p>
        </w:tc>
      </w:tr>
    </w:tbl>
    <w:p>
      <w:r>
        <w:rPr>
          <w:rFonts w:eastAsia="SimSun" w:ascii="Times New Roman" w:hAnsi="Times New Roman"/>
          <w:color w:val="9CA3AF"/>
          <w:sz w:val="16"/>
        </w:rPr>
        <w:t>注：数据为连续运行30天后的平均值。</w:t>
      </w:r>
    </w:p>
    <w:p>
      <w:pPr>
        <w:spacing w:line="440" w:lineRule="exact" w:before="360" w:after="200"/>
      </w:pPr>
      <w:r>
        <w:rPr>
          <w:rFonts w:ascii="Times New Roman" w:hAnsi="Times New Roman" w:eastAsia="SimHei"/>
          <w:b/>
          <w:sz w:val="28"/>
        </w:rPr>
        <w:t>6 结果分析与讨论</w:t>
      </w:r>
    </w:p>
    <w:p>
      <w:pPr>
        <w:spacing w:line="440" w:lineRule="exact" w:before="0" w:after="0"/>
        <w:ind w:firstLine="480"/>
        <w:jc w:val="both"/>
      </w:pPr>
      <w:r>
        <w:rPr>
          <w:rFonts w:ascii="Times New Roman" w:hAnsi="Times New Roman" w:eastAsia="SimSun"/>
          <w:b w:val="0"/>
          <w:sz w:val="24"/>
        </w:rPr>
        <w:t>6.1 重金属对处理效能的影响</w:t>
        <w:br/>
        <w:t>如表2所示，对照组R1的COD去除率达到92.0%，表明系统运行良好。随着重金属浓度增加，处理效能显著下降。R3组（Cu²⁺ 20 mg/L）去除率降至65.0%，R5组（Cd²⁺ 10 mg/L）降至58.0%。统计分析显示，重金属浓度与COD去除率呈显著负相关（r=-0.87, p&lt;0.01）。对比同等摩尔浓度下的毒性效应，Cd²⁺对微生物代谢的抑制作用最强，即使在较低浓度（2~10 mg/L）下也造成了严重的功能损伤。</w:t>
      </w:r>
    </w:p>
    <w:p>
      <w:pPr>
        <w:spacing w:line="440" w:lineRule="exact" w:before="0" w:after="0"/>
        <w:ind w:firstLine="480"/>
        <w:jc w:val="both"/>
      </w:pPr>
      <w:r>
        <w:rPr>
          <w:rFonts w:ascii="Times New Roman" w:hAnsi="Times New Roman" w:eastAsia="SimSun"/>
          <w:b w:val="0"/>
          <w:sz w:val="24"/>
        </w:rPr>
        <w:t>6.2 微生物群落结构演变</w:t>
        <w:br/>
        <w:t>Alpha多样性分析表明，受重金属胁迫后，污泥微生物Shannon指数从对照组的4.80普遍下降，R5组最低仅为3.20，说明重金属胁迫降低了群落的丰富度和均匀度。</w:t>
      </w:r>
    </w:p>
    <w:p>
      <w:pPr>
        <w:spacing w:line="440" w:lineRule="exact" w:before="0" w:after="0"/>
        <w:ind w:firstLine="480"/>
        <w:jc w:val="both"/>
      </w:pPr>
      <w:r>
        <w:rPr>
          <w:rFonts w:ascii="Times New Roman" w:hAnsi="Times New Roman" w:eastAsia="SimSun"/>
          <w:b w:val="0"/>
          <w:sz w:val="24"/>
        </w:rPr>
        <w:t>在属水平上，对照组优势菌属主要为硝化螺旋菌属（Nitrospira）和假单胞菌属（Pseudomonas），这与良好的脱氮除碳性能相符。而在重金属胁迫组，特别是R3和R5组，耐金属的芽孢杆菌属（Bacillus）相对丰度显著上升，成为新的优势菌属。这是因为芽孢杆菌能形成芽孢以抵抗逆境，并分泌胞外聚合物（EPS）络合重金属离子，从而获得生存优势。然而，功能菌群（如硝化菌）的流失直接导致了系统处理能力的下降。</w:t>
      </w:r>
    </w:p>
    <w:p>
      <w:pPr>
        <w:spacing w:line="440" w:lineRule="exact" w:before="0" w:after="0"/>
        <w:ind w:firstLine="480"/>
        <w:jc w:val="both"/>
      </w:pPr>
      <w:r>
        <w:rPr>
          <w:rFonts w:ascii="Times New Roman" w:hAnsi="Times New Roman" w:eastAsia="SimSun"/>
          <w:b w:val="0"/>
          <w:sz w:val="24"/>
        </w:rPr>
        <w:t>综上所述，重金属通过筛选耐受菌、抑制敏感功能菌，改变了群落结构，进而削弱了污水净化能力。Cd²⁺因其更强的细胞穿透力和酶结合能力，表现出最高的生态毒性。</w:t>
      </w:r>
    </w:p>
    <w:p>
      <w:pPr>
        <w:spacing w:line="440" w:lineRule="exact" w:before="360" w:after="200"/>
      </w:pPr>
      <w:r>
        <w:rPr>
          <w:rFonts w:ascii="Times New Roman" w:hAnsi="Times New Roman" w:eastAsia="SimHei"/>
          <w:b/>
          <w:sz w:val="28"/>
        </w:rPr>
        <w:t>结论与建议</w:t>
      </w:r>
    </w:p>
    <w:p>
      <w:pPr>
        <w:spacing w:line="440" w:lineRule="exact" w:before="0" w:after="0"/>
        <w:ind w:firstLine="480"/>
        <w:jc w:val="both"/>
      </w:pPr>
      <w:r>
        <w:rPr>
          <w:rFonts w:ascii="Times New Roman" w:hAnsi="Times New Roman" w:eastAsia="SimSun"/>
          <w:b w:val="0"/>
          <w:sz w:val="24"/>
        </w:rPr>
        <w:t>（1）重金属离子对活性污泥处理效能具有显著抑制作用，COD去除率与重金属浓度呈显著负相关（r=-0.87）。</w:t>
      </w:r>
    </w:p>
    <w:p>
      <w:pPr>
        <w:spacing w:line="440" w:lineRule="exact" w:before="0" w:after="0"/>
        <w:ind w:firstLine="480"/>
        <w:jc w:val="both"/>
      </w:pPr>
      <w:r>
        <w:rPr>
          <w:rFonts w:ascii="Times New Roman" w:hAnsi="Times New Roman" w:eastAsia="SimSun"/>
          <w:b w:val="0"/>
          <w:sz w:val="24"/>
        </w:rPr>
        <w:t>（2）三种重金属毒性排序为：Cd²⁺ &gt; Cu²⁺ &gt; Pb²⁺。Cd²⁺在10 mg/L浓度下即导致COD去除率降至58%，Shannon指数降至3.2。</w:t>
      </w:r>
    </w:p>
    <w:p>
      <w:pPr>
        <w:spacing w:line="440" w:lineRule="exact" w:before="0" w:after="0"/>
        <w:ind w:firstLine="480"/>
        <w:jc w:val="both"/>
      </w:pPr>
      <w:r>
        <w:rPr>
          <w:rFonts w:ascii="Times New Roman" w:hAnsi="Times New Roman" w:eastAsia="SimSun"/>
          <w:b w:val="0"/>
          <w:sz w:val="24"/>
        </w:rPr>
        <w:t>（3）重金属胁迫导致微生物群落结构发生定向演替，敏感的功能菌属（如硝化螺旋菌属）丰度降低，耐重金属的芽孢杆菌属成为优势菌属。</w:t>
      </w:r>
    </w:p>
    <w:p>
      <w:pPr>
        <w:spacing w:line="440" w:lineRule="exact" w:before="0" w:after="0"/>
        <w:ind w:firstLine="480"/>
        <w:jc w:val="both"/>
      </w:pPr>
      <w:r>
        <w:rPr>
          <w:rFonts w:ascii="Times New Roman" w:hAnsi="Times New Roman" w:eastAsia="SimSun"/>
          <w:b w:val="0"/>
          <w:sz w:val="24"/>
        </w:rPr>
        <w:t>（4）群落多样性的降低与系统处理性能的衰退具有高度一致性，表明微生物群落结构可作为预警重金属冲击的生物指标。</w:t>
      </w:r>
    </w:p>
    <w:p>
      <w:pPr>
        <w:spacing w:line="440" w:lineRule="exact" w:before="240" w:after="120"/>
      </w:pPr>
      <w:r>
        <w:rPr>
          <w:rFonts w:ascii="Times New Roman" w:hAnsi="Times New Roman" w:eastAsia="SimHei"/>
          <w:b/>
          <w:sz w:val="24"/>
        </w:rPr>
        <w:t>建议</w:t>
      </w:r>
    </w:p>
    <w:p>
      <w:pPr>
        <w:spacing w:line="440" w:lineRule="exact" w:before="0" w:after="0"/>
        <w:ind w:firstLine="480"/>
        <w:jc w:val="both"/>
      </w:pPr>
      <w:r>
        <w:rPr>
          <w:rFonts w:ascii="Times New Roman" w:hAnsi="Times New Roman" w:eastAsia="SimSun"/>
          <w:b w:val="0"/>
          <w:sz w:val="24"/>
        </w:rPr>
        <w:t>1. 建议在污水处理厂进水端建立重金属在线监测预警机制，当检测到Cd²⁺或Cu²⁺浓度超过5 mg/L时启动应急调控预案</w:t>
      </w:r>
    </w:p>
    <w:p>
      <w:pPr>
        <w:spacing w:line="440" w:lineRule="exact" w:before="0" w:after="0"/>
        <w:ind w:firstLine="480"/>
        <w:jc w:val="both"/>
      </w:pPr>
      <w:r>
        <w:rPr>
          <w:rFonts w:ascii="Times New Roman" w:hAnsi="Times New Roman" w:eastAsia="SimSun"/>
          <w:b w:val="0"/>
          <w:sz w:val="24"/>
        </w:rPr>
        <w:t>2. 对于长期受低浓度重金属影响的污泥系统，可尝试投加生物炭或改性膨润土，利用其吸附性能减轻重金属对微生物的生物有效性</w:t>
      </w:r>
    </w:p>
    <w:p>
      <w:pPr>
        <w:spacing w:line="440" w:lineRule="exact" w:before="0" w:after="0"/>
        <w:ind w:firstLine="480"/>
        <w:jc w:val="both"/>
      </w:pPr>
      <w:r>
        <w:rPr>
          <w:rFonts w:ascii="Times New Roman" w:hAnsi="Times New Roman" w:eastAsia="SimSun"/>
          <w:b w:val="0"/>
          <w:sz w:val="24"/>
        </w:rPr>
        <w:t>3. 建议开展耐重金属功能菌剂的强化投加研究，通过生物强化手段恢复受损系统的硝化与有机物去除功能</w:t>
      </w:r>
    </w:p>
    <w:p>
      <w:pPr>
        <w:spacing w:line="440" w:lineRule="exact" w:before="0" w:after="0"/>
        <w:ind w:firstLine="480"/>
        <w:jc w:val="both"/>
      </w:pPr>
      <w:r>
        <w:rPr>
          <w:rFonts w:ascii="Times New Roman" w:hAnsi="Times New Roman" w:eastAsia="SimSun"/>
          <w:b w:val="0"/>
          <w:sz w:val="24"/>
        </w:rPr>
        <w:t>4. 后续研究应进一步解析重金属胁迫下微生物胞外聚合物（EPS）组分变化及其对重金属的络合机理</w:t>
      </w:r>
    </w:p>
    <w:p>
      <w:pPr>
        <w:spacing w:line="440" w:lineRule="exact" w:before="360" w:after="200"/>
      </w:pPr>
      <w:r>
        <w:rPr>
          <w:rFonts w:ascii="Times New Roman" w:hAnsi="Times New Roman" w:eastAsia="SimHei"/>
          <w:b/>
          <w:sz w:val="28"/>
        </w:rPr>
        <w:t>参考文献</w:t>
      </w:r>
    </w:p>
    <w:p>
      <w:pPr>
        <w:spacing w:line="360" w:lineRule="exact" w:before="0" w:after="40"/>
      </w:pPr>
      <w:r>
        <w:rPr>
          <w:rFonts w:ascii="Times New Roman" w:hAnsi="Times New Roman" w:eastAsia="SimSun"/>
          <w:b w:val="0"/>
          <w:sz w:val="21"/>
        </w:rPr>
        <w:t>[1] 张强, 李华. 重金属对活性污泥微生物群落结构影响的研究进展[J]. 环境科学学报, 2022, 42(3): 112-120.</w:t>
      </w:r>
    </w:p>
    <w:p>
      <w:pPr>
        <w:spacing w:line="360" w:lineRule="exact" w:before="0" w:after="40"/>
      </w:pPr>
      <w:r>
        <w:rPr>
          <w:rFonts w:ascii="Times New Roman" w:hAnsi="Times New Roman" w:eastAsia="SimSun"/>
          <w:b w:val="0"/>
          <w:sz w:val="21"/>
        </w:rPr>
        <w:t>[2] Wang X, Liu Y. Toxicity effects of heavy metals on activated sludge process: A review[J]. Bioresource Technology, 2021, 320: 124-135.</w:t>
      </w:r>
    </w:p>
    <w:p>
      <w:pPr>
        <w:spacing w:line="360" w:lineRule="exact" w:before="0" w:after="40"/>
      </w:pPr>
      <w:r>
        <w:rPr>
          <w:rFonts w:ascii="Times New Roman" w:hAnsi="Times New Roman" w:eastAsia="SimSun"/>
          <w:b w:val="0"/>
          <w:sz w:val="21"/>
        </w:rPr>
        <w:t>[3] 陈明, 赵刚. 基于16S rRNA测序技术的污水厂污泥微生物多样性分析[J]. 中国给水排水, 2023, 39(15): 88-93.</w:t>
      </w:r>
    </w:p>
    <w:p>
      <w:pPr>
        <w:spacing w:line="360" w:lineRule="exact" w:before="0" w:after="40"/>
      </w:pPr>
      <w:r>
        <w:rPr>
          <w:rFonts w:ascii="Times New Roman" w:hAnsi="Times New Roman" w:eastAsia="SimSun"/>
          <w:b w:val="0"/>
          <w:sz w:val="21"/>
        </w:rPr>
        <w:t>[4] GB/T 7713.3-2014 科学技术报告的编写规则[S]. 北京: 中国标准出版社, 2014.</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before="0" w:after="0"/>
    </w:pPr>
    <w:rPr>
      <w:rFonts w:ascii="Times New Roman" w:hAnsi="Times New Roma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