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1200" w:after="0"/>
      </w:pPr>
    </w:p>
    <w:p>
      <w:pPr>
        <w:spacing w:line="440" w:lineRule="exact" w:before="0" w:after="400"/>
        <w:jc w:val="center"/>
      </w:pPr>
      <w:r>
        <w:rPr>
          <w:rFonts w:ascii="Times New Roman" w:hAnsi="Times New Roman" w:eastAsia="SimHei"/>
          <w:b/>
          <w:color w:val="000000"/>
          <w:sz w:val="32"/>
        </w:rPr>
        <w:t>国家自然科学基金项目申请书</w:t>
      </w:r>
    </w:p>
    <w:p>
      <w:pPr>
        <w:spacing w:line="440" w:lineRule="exact" w:before="0" w:after="200"/>
        <w:jc w:val="center"/>
      </w:pPr>
      <w:r>
        <w:rPr>
          <w:rFonts w:ascii="Times New Roman" w:hAnsi="Times New Roman" w:eastAsia="SimSun"/>
          <w:b w:val="0"/>
          <w:color w:val="000000"/>
          <w:sz w:val="24"/>
        </w:rPr>
        <w:t>项目名称：面向复杂动态场景的多模态大模型自动驾驶决策研究</w:t>
      </w:r>
    </w:p>
    <w:p>
      <w:pPr>
        <w:spacing w:line="440" w:lineRule="exact" w:before="0" w:after="80"/>
        <w:jc w:val="center"/>
      </w:pPr>
      <w:r>
        <w:rPr>
          <w:rFonts w:ascii="Times New Roman" w:hAnsi="Times New Roman" w:eastAsia="SimSun"/>
          <w:b w:val="0"/>
          <w:color w:val="000000"/>
          <w:sz w:val="24"/>
        </w:rPr>
        <w:t>申请人：陈晓东</w:t>
      </w:r>
    </w:p>
    <w:p>
      <w:pPr>
        <w:spacing w:line="440" w:lineRule="exact" w:before="0" w:after="80"/>
        <w:jc w:val="center"/>
      </w:pPr>
      <w:r>
        <w:rPr>
          <w:rFonts w:ascii="Times New Roman" w:hAnsi="Times New Roman" w:eastAsia="SimSun"/>
          <w:b w:val="0"/>
          <w:color w:val="000000"/>
          <w:sz w:val="24"/>
        </w:rPr>
        <w:t>依托单位：清华大学</w:t>
      </w:r>
    </w:p>
    <w:p>
      <w:pPr>
        <w:spacing w:line="440" w:lineRule="exact" w:before="0" w:after="80"/>
        <w:jc w:val="center"/>
      </w:pPr>
      <w:r>
        <w:rPr>
          <w:rFonts w:ascii="Times New Roman" w:hAnsi="Times New Roman" w:eastAsia="SimSun"/>
          <w:b w:val="0"/>
          <w:color w:val="000000"/>
          <w:sz w:val="24"/>
        </w:rPr>
        <w:t>所在院系：计算机科学与技术系</w:t>
      </w:r>
    </w:p>
    <w:p>
      <w:pPr>
        <w:spacing w:line="440" w:lineRule="exact" w:before="0" w:after="80"/>
        <w:jc w:val="center"/>
      </w:pPr>
      <w:r>
        <w:rPr>
          <w:rFonts w:ascii="Times New Roman" w:hAnsi="Times New Roman" w:eastAsia="SimSun"/>
          <w:b w:val="0"/>
          <w:color w:val="000000"/>
          <w:sz w:val="24"/>
        </w:rPr>
        <w:t>职称：副教授</w:t>
      </w:r>
    </w:p>
    <w:p>
      <w:pPr>
        <w:spacing w:line="440" w:lineRule="exact" w:before="0" w:after="80"/>
        <w:jc w:val="center"/>
      </w:pPr>
      <w:r>
        <w:rPr>
          <w:rFonts w:ascii="Times New Roman" w:hAnsi="Times New Roman" w:eastAsia="SimSun"/>
          <w:b w:val="0"/>
          <w:color w:val="000000"/>
          <w:sz w:val="24"/>
        </w:rPr>
        <w:t>研究领域：人工智能-自动驾驶</w:t>
      </w:r>
    </w:p>
    <w:p>
      <w:pPr>
        <w:spacing w:line="440" w:lineRule="exact" w:before="120" w:after="200"/>
        <w:jc w:val="center"/>
      </w:pPr>
      <w:r>
        <w:rPr>
          <w:rFonts w:ascii="Times New Roman" w:hAnsi="Times New Roman" w:eastAsia="SimSun"/>
          <w:b w:val="0"/>
          <w:color w:val="000000"/>
          <w:sz w:val="24"/>
        </w:rPr>
        <w:t>关键词：多模态大模型；自动驾驶决策；视觉-语言-动作对齐；形式化验证；长尾场景</w:t>
      </w:r>
    </w:p>
    <w:p>
      <w:pPr>
        <w:spacing w:line="440" w:lineRule="exact" w:before="0" w:after="400"/>
        <w:jc w:val="center"/>
      </w:pPr>
      <w:r>
        <w:rPr>
          <w:rFonts w:ascii="Times New Roman" w:hAnsi="Times New Roman" w:eastAsia="SimSun"/>
          <w:b w:val="0"/>
          <w:color w:val="000000"/>
          <w:sz w:val="20"/>
        </w:rPr>
        <w:t>（注：正文部分限20页以内）</w:t>
      </w:r>
    </w:p>
    <w:p>
      <w:r>
        <w:br w:type="page"/>
      </w:r>
    </w:p>
    <w:p>
      <w:pPr>
        <w:spacing w:line="440" w:lineRule="exact" w:before="400" w:after="160"/>
      </w:pPr>
      <w:r>
        <w:rPr>
          <w:rFonts w:ascii="Times New Roman" w:hAnsi="Times New Roman" w:eastAsia="SimHei"/>
          <w:b/>
          <w:color w:val="000000"/>
          <w:sz w:val="28"/>
        </w:rPr>
        <w:t>一、立项依据与研究内容</w:t>
      </w:r>
    </w:p>
    <w:p>
      <w:pPr>
        <w:spacing w:line="440" w:lineRule="exact" w:before="200" w:after="80"/>
      </w:pPr>
      <w:r>
        <w:rPr>
          <w:rFonts w:ascii="Times New Roman" w:hAnsi="Times New Roman" w:eastAsia="SimHei"/>
          <w:b/>
          <w:color w:val="000000"/>
          <w:sz w:val="24"/>
        </w:rPr>
        <w:t>（一）项目的立项依据</w:t>
      </w:r>
    </w:p>
    <w:p>
      <w:pPr>
        <w:spacing w:line="440" w:lineRule="exact" w:before="0" w:after="0"/>
        <w:ind w:firstLine="480"/>
      </w:pPr>
      <w:r>
        <w:rPr>
          <w:rFonts w:ascii="Times New Roman" w:hAnsi="Times New Roman" w:eastAsia="SimSun"/>
          <w:b w:val="0"/>
          <w:color w:val="000000"/>
          <w:sz w:val="24"/>
        </w:rPr>
        <w:t>自动驾驶技术正从封闭结构化道路向开放复杂动态场景演进，然而传统模块化或端到端深度学习方案在处理“长尾场景”（Long-tail Scenarios）时仍存在显著瓶颈[1]。传统方法依赖大量标注数据拟合映射关系，缺乏对交通场景深层语义的理解和逻辑推理能力，导致在面对罕见工况（如交警手势、不规则施工区）时决策失效[2]。此外，黑盒模型的不可解释性使得系统难以通过传统安全标准认证，限制了其规模化落地[3]。</w:t>
      </w:r>
    </w:p>
    <w:p>
      <w:pPr>
        <w:spacing w:line="440" w:lineRule="exact" w:before="0" w:after="0"/>
        <w:ind w:firstLine="480"/>
      </w:pPr>
      <w:r>
        <w:rPr>
          <w:rFonts w:ascii="Times New Roman" w:hAnsi="Times New Roman" w:eastAsia="SimSun"/>
          <w:b w:val="0"/>
          <w:color w:val="000000"/>
          <w:sz w:val="24"/>
        </w:rPr>
        <w:t>近年来，多模态大模型（Multimodal Large Language Models, MLLMs）在通用视觉理解与逻辑推理方面展现出突破性进展[4-5]。将VLM引入自动驾驶决策，能够利用其强大的世界知识（World Knowledge）和少样本学习能力，实现对复杂场景的语义级理解与意图推理，为突破长尾困境提供新路径[6]。然而，直接应用通用大模型面临推理延迟高、幻觉问题（Hallucination）以及缺乏物理常识约束等挑战[7]。</w:t>
      </w:r>
    </w:p>
    <w:p>
      <w:pPr>
        <w:spacing w:line="440" w:lineRule="exact" w:before="0" w:after="0"/>
        <w:ind w:firstLine="480"/>
      </w:pPr>
      <w:r>
        <w:rPr>
          <w:rFonts w:ascii="Times New Roman" w:hAnsi="Times New Roman" w:eastAsia="SimSun"/>
          <w:b w:val="0"/>
          <w:color w:val="000000"/>
          <w:sz w:val="24"/>
        </w:rPr>
        <w:t>本项目聚焦于多模态大模型在自动驾驶决策中的适配性与安全性问题，探索视觉-语言-动作的深层对齐机制，并引入形式化验证以弥补大模型概率生成的不确定性。研究成果不仅有助于推动自动驾驶从“感知智能”向“认知智能”跨越，也为解决AI系统的安全可信问题提供理论支撑，具有重要的科学意义和国家战略需求价值。</w:t>
      </w:r>
    </w:p>
    <w:p>
      <w:pPr>
        <w:spacing w:line="440" w:lineRule="exact" w:before="160" w:after="40"/>
      </w:pPr>
      <w:r>
        <w:rPr>
          <w:rFonts w:ascii="Times New Roman" w:hAnsi="Times New Roman" w:eastAsia="SimHei"/>
          <w:b/>
          <w:color w:val="000000"/>
          <w:sz w:val="24"/>
        </w:rPr>
        <w:t>国内外研究现状及发展动态分析</w:t>
      </w:r>
    </w:p>
    <w:p>
      <w:pPr>
        <w:spacing w:line="440" w:lineRule="exact" w:before="0" w:after="0"/>
        <w:ind w:firstLine="480"/>
      </w:pPr>
      <w:r>
        <w:rPr>
          <w:rFonts w:ascii="Times New Roman" w:hAnsi="Times New Roman" w:eastAsia="SimSun"/>
          <w:b w:val="0"/>
          <w:color w:val="000000"/>
          <w:sz w:val="24"/>
        </w:rPr>
        <w:t>自动驾驶决策规划经历了从规则驱动到数据驱动的演变。早期基于规则的方法（Rule-based）在结构化场景中表现稳定，但难以覆盖无限可能的长尾场景[8]。随后，模仿学习（Imitation Learning）和强化学习（Reinforcement Learning）成为主流，如Transfuser[9]通过融合Transformer架构提升了特征提取能力。然而，这些方法本质上仍是数据拟合，缺乏对交通规则的显式理解和因果推理能力，且在分布外（OOD）数据上性能急剧下降[10]。</w:t>
      </w:r>
    </w:p>
    <w:p>
      <w:pPr>
        <w:spacing w:line="440" w:lineRule="exact" w:before="0" w:after="0"/>
        <w:ind w:firstLine="480"/>
      </w:pPr>
      <w:r>
        <w:rPr>
          <w:rFonts w:ascii="Times New Roman" w:hAnsi="Times New Roman" w:eastAsia="SimSun"/>
          <w:b w:val="0"/>
          <w:color w:val="000000"/>
          <w:sz w:val="24"/>
        </w:rPr>
        <w:t>随着大语言模型（LLM）的发展，研究者开始探索其在机器人领域的应用。DriveLM[11]首次尝试利用LLM进行驾驶场景问答，增强了系统的可解释性；VAD[12]则尝试将向量量化技术与端到端学习结合。近期，UniAD[13]提出了统一的任务导向感知框架，但在处理需要复杂逻辑推理的场景时仍显不足。尽管LLM在文本推理上表现优异，但将其应用于实时控制面临两大难题：一是多模态对齐困难，现有的CLIP[14]等模型在细粒度驾驶场景理解上存在偏差；二是安全性无法保证，大模型的生成式特性可能导致违反交通规则的“幻觉”输出[15]。</w:t>
      </w:r>
    </w:p>
    <w:p>
      <w:pPr>
        <w:spacing w:line="440" w:lineRule="exact" w:before="0" w:after="0"/>
        <w:ind w:firstLine="480"/>
      </w:pPr>
      <w:r>
        <w:rPr>
          <w:rFonts w:ascii="Times New Roman" w:hAnsi="Times New Roman" w:eastAsia="SimSun"/>
          <w:b w:val="0"/>
          <w:color w:val="000000"/>
          <w:sz w:val="24"/>
        </w:rPr>
        <w:t>在安全性保障方面，形式化方法（Formal Methods）因其数学上的严密性被广泛用于安全关键系统[16]。然而，传统形式化验证难以直接应用于高维连续的非线性神经网络。近期研究开始探索神经符号系统（Neuro-Symbolic AI），试图结合神经网络的感知能力与符号逻辑的推理能力[17-18]，但如何在保持大模型泛化能力的同时嵌入硬约束，仍是未解难题。</w:t>
      </w:r>
    </w:p>
    <w:p>
      <w:pPr>
        <w:spacing w:line="440" w:lineRule="exact" w:before="0" w:after="0"/>
        <w:ind w:firstLine="480"/>
      </w:pPr>
      <w:r>
        <w:rPr>
          <w:rFonts w:ascii="Times New Roman" w:hAnsi="Times New Roman" w:eastAsia="SimSun"/>
          <w:b w:val="0"/>
          <w:color w:val="000000"/>
          <w:sz w:val="24"/>
        </w:rPr>
        <w:t>综上所述，现有研究在多模态语义对齐的深度、决策推理的可解释性以及安全验证的完备性之间尚未形成闭环。本项目拟在此基础上，深入研究VLM与自动驾驶决策的深度融合机制，填补该领域的理论与技术空白。</w:t>
      </w:r>
    </w:p>
    <w:p>
      <w:pPr>
        <w:spacing w:line="440" w:lineRule="exact" w:before="200" w:after="80"/>
      </w:pPr>
      <w:r>
        <w:rPr>
          <w:rFonts w:ascii="Times New Roman" w:hAnsi="Times New Roman" w:eastAsia="SimHei"/>
          <w:b/>
          <w:color w:val="000000"/>
          <w:sz w:val="24"/>
        </w:rPr>
        <w:t>（二）研究内容、研究目标，以及拟解决的关键科学问题</w:t>
      </w:r>
    </w:p>
    <w:p>
      <w:pPr>
        <w:spacing w:line="440" w:lineRule="exact" w:before="160" w:after="40"/>
      </w:pPr>
      <w:r>
        <w:rPr>
          <w:rFonts w:ascii="Times New Roman" w:hAnsi="Times New Roman" w:eastAsia="SimHei"/>
          <w:b/>
          <w:color w:val="000000"/>
          <w:sz w:val="24"/>
        </w:rPr>
        <w:t>研究目标</w:t>
      </w:r>
    </w:p>
    <w:p>
      <w:pPr>
        <w:spacing w:line="440" w:lineRule="exact" w:before="0" w:after="0"/>
        <w:ind w:firstLine="480"/>
      </w:pPr>
      <w:r>
        <w:rPr>
          <w:rFonts w:ascii="Times New Roman" w:hAnsi="Times New Roman" w:eastAsia="SimSun"/>
          <w:b w:val="0"/>
          <w:color w:val="000000"/>
          <w:sz w:val="24"/>
        </w:rPr>
        <w:t>针对自动驾驶在复杂动态场景及长尾工况下面临的语义理解缺失、决策可解释性差及安全性边界模糊等关键问题，本项目旨在构建基于多模态大模型（VLM/LLM）的自动驾驶决策新范式。具体目标包括：（1）揭示开放环境下视觉感知、语言语义与驾驶动作之间的跨模态对齐机制，解决多源异构信息的语义鸿沟；（2）建立具备因果推理能力的端到端决策规划架构，提升系统在非结构化场景下的泛化能力与可解释性；（3）提出大模型推理与形式化验证深度融合的安全保障框架，确保决策行为满足严格的安全约束。预期在nuScenes及自建长尾数据集上，决策成功率较现有SOTA方法提升15%以上，并实现零严重违规事故。</w:t>
      </w:r>
    </w:p>
    <w:p>
      <w:pPr>
        <w:spacing w:line="440" w:lineRule="exact" w:before="200" w:after="80"/>
      </w:pPr>
      <w:r>
        <w:rPr>
          <w:rFonts w:ascii="Times New Roman" w:hAnsi="Times New Roman" w:eastAsia="SimHei"/>
          <w:b/>
          <w:color w:val="000000"/>
          <w:sz w:val="24"/>
        </w:rPr>
        <w:t>主要研究内容</w:t>
      </w:r>
    </w:p>
    <w:p>
      <w:pPr>
        <w:spacing w:line="440" w:lineRule="exact" w:before="120" w:after="40"/>
      </w:pPr>
      <w:r>
        <w:rPr>
          <w:rFonts w:ascii="Times New Roman" w:hAnsi="Times New Roman" w:eastAsia="SimHei"/>
          <w:b/>
          <w:color w:val="000000"/>
          <w:sz w:val="24"/>
        </w:rPr>
        <w:t>1. 面向驾驶场景的多模态语义对齐与意图推理研究</w:t>
      </w:r>
    </w:p>
    <w:p>
      <w:pPr>
        <w:spacing w:line="440" w:lineRule="exact" w:before="0" w:after="0"/>
        <w:ind w:firstLine="480"/>
      </w:pPr>
      <w:r>
        <w:rPr>
          <w:rFonts w:ascii="Times New Roman" w:hAnsi="Times New Roman" w:eastAsia="SimSun"/>
          <w:b w:val="0"/>
          <w:color w:val="000000"/>
          <w:sz w:val="24"/>
        </w:rPr>
        <w:t>研究方法：构建包含视觉图像、激光雷达点云、自然语言描述及驾驶轨迹的多模态数据集。设计层级对比学习框架，利用预训练VLM（如LLaVA架构）作为教师模型，通过指令微调（Instruction Tuning）将通用视觉知识迁移至驾驶域。重点研究时空注意力机制，实现动态物体轨迹与语言意图（如“前车正在变道”）的细粒度对齐。</w:t>
      </w:r>
    </w:p>
    <w:p>
      <w:pPr>
        <w:spacing w:line="440" w:lineRule="exact" w:before="0" w:after="0"/>
        <w:ind w:firstLine="480"/>
      </w:pPr>
      <w:r>
        <w:rPr>
          <w:rFonts w:ascii="Times New Roman" w:hAnsi="Times New Roman" w:eastAsia="SimSun"/>
          <w:b w:val="0"/>
          <w:color w:val="000000"/>
          <w:sz w:val="24"/>
        </w:rPr>
        <w:t>进度安排：第1-12个月</w:t>
      </w:r>
    </w:p>
    <w:p>
      <w:pPr>
        <w:spacing w:line="440" w:lineRule="exact" w:before="120" w:after="40"/>
      </w:pPr>
      <w:r>
        <w:rPr>
          <w:rFonts w:ascii="Times New Roman" w:hAnsi="Times New Roman" w:eastAsia="SimHei"/>
          <w:b/>
          <w:color w:val="000000"/>
          <w:sz w:val="24"/>
        </w:rPr>
        <w:t>2. 基于VLM-Decoder的端到端决策规划架构设计</w:t>
      </w:r>
    </w:p>
    <w:p>
      <w:pPr>
        <w:spacing w:line="440" w:lineRule="exact" w:before="0" w:after="0"/>
        <w:ind w:firstLine="480"/>
      </w:pPr>
      <w:r>
        <w:rPr>
          <w:rFonts w:ascii="Times New Roman" w:hAnsi="Times New Roman" w:eastAsia="SimSun"/>
          <w:b w:val="0"/>
          <w:color w:val="000000"/>
          <w:sz w:val="24"/>
        </w:rPr>
        <w:t>研究方法：设计轻量化VLM编码器提取场景语义嵌入，结合运动学解码器生成候选轨迹。引入思维链（Chain-of-Thought, CoT）机制，使模型在输出控制指令前先生成中间推理步骤（如“因行人横穿，故减速”）。采用扩散模型（Diffusion Model）优化轨迹平滑度，并通过蒸馏技术降低推理延迟，满足实时性要求。</w:t>
      </w:r>
    </w:p>
    <w:p>
      <w:pPr>
        <w:spacing w:line="440" w:lineRule="exact" w:before="0" w:after="0"/>
        <w:ind w:firstLine="480"/>
      </w:pPr>
      <w:r>
        <w:rPr>
          <w:rFonts w:ascii="Times New Roman" w:hAnsi="Times New Roman" w:eastAsia="SimSun"/>
          <w:b w:val="0"/>
          <w:color w:val="000000"/>
          <w:sz w:val="24"/>
        </w:rPr>
        <w:t>进度安排：第13-24个月</w:t>
      </w:r>
    </w:p>
    <w:p>
      <w:pPr>
        <w:spacing w:line="440" w:lineRule="exact" w:before="120" w:after="40"/>
      </w:pPr>
      <w:r>
        <w:rPr>
          <w:rFonts w:ascii="Times New Roman" w:hAnsi="Times New Roman" w:eastAsia="SimHei"/>
          <w:b/>
          <w:color w:val="000000"/>
          <w:sz w:val="24"/>
        </w:rPr>
        <w:t>3. 大模型推理的形式化验证与安全护栏构建</w:t>
      </w:r>
    </w:p>
    <w:p>
      <w:pPr>
        <w:spacing w:line="440" w:lineRule="exact" w:before="0" w:after="0"/>
        <w:ind w:firstLine="480"/>
      </w:pPr>
      <w:r>
        <w:rPr>
          <w:rFonts w:ascii="Times New Roman" w:hAnsi="Times New Roman" w:eastAsia="SimSun"/>
          <w:b w:val="0"/>
          <w:color w:val="000000"/>
          <w:sz w:val="24"/>
        </w:rPr>
        <w:t>研究方法：建立驾驶场景的信号时序逻辑（STL）规范库，定义安全边界（如最小跟车距离、最大加速度）。设计神经符号验证模块，将VLM输出的离散意图转化为连续控制约束。利用可达性分析（Reachability Analysis）实时监测决策安全性，一旦检测到潜在违规，触发基于控制屏障函数（CBF）的安全接管机制。</w:t>
      </w:r>
    </w:p>
    <w:p>
      <w:pPr>
        <w:spacing w:line="440" w:lineRule="exact" w:before="0" w:after="0"/>
        <w:ind w:firstLine="480"/>
      </w:pPr>
      <w:r>
        <w:rPr>
          <w:rFonts w:ascii="Times New Roman" w:hAnsi="Times New Roman" w:eastAsia="SimSun"/>
          <w:b w:val="0"/>
          <w:color w:val="000000"/>
          <w:sz w:val="24"/>
        </w:rPr>
        <w:t>进度安排：第25-36个月</w:t>
      </w:r>
    </w:p>
    <w:p>
      <w:pPr>
        <w:spacing w:line="440" w:lineRule="exact" w:before="120" w:after="40"/>
      </w:pPr>
      <w:r>
        <w:rPr>
          <w:rFonts w:ascii="Times New Roman" w:hAnsi="Times New Roman" w:eastAsia="SimHei"/>
          <w:b/>
          <w:color w:val="000000"/>
          <w:sz w:val="24"/>
        </w:rPr>
        <w:t>4. 系统集成、仿真测试与实车验证</w:t>
      </w:r>
    </w:p>
    <w:p>
      <w:pPr>
        <w:spacing w:line="440" w:lineRule="exact" w:before="0" w:after="0"/>
        <w:ind w:firstLine="480"/>
      </w:pPr>
      <w:r>
        <w:rPr>
          <w:rFonts w:ascii="Times New Roman" w:hAnsi="Times New Roman" w:eastAsia="SimSun"/>
          <w:b w:val="0"/>
          <w:color w:val="000000"/>
          <w:sz w:val="24"/>
        </w:rPr>
        <w:t>研究方法：在CARLA仿真平台构建极端长尾场景测试集，进行大规模闭环测试。搭建线控底盘实验车，集成计算平台与传感器套件。开展封闭场地实车实验，验证系统在复杂路口、人车混行等场景下的决策有效性、实时性及安全性，收集真实数据迭代优化模型。</w:t>
      </w:r>
    </w:p>
    <w:p>
      <w:pPr>
        <w:spacing w:line="440" w:lineRule="exact" w:before="0" w:after="0"/>
        <w:ind w:firstLine="480"/>
      </w:pPr>
      <w:r>
        <w:rPr>
          <w:rFonts w:ascii="Times New Roman" w:hAnsi="Times New Roman" w:eastAsia="SimSun"/>
          <w:b w:val="0"/>
          <w:color w:val="000000"/>
          <w:sz w:val="24"/>
        </w:rPr>
        <w:t>进度安排：第37-48个月</w:t>
      </w:r>
    </w:p>
    <w:p>
      <w:pPr>
        <w:spacing w:line="440" w:lineRule="exact" w:before="160" w:after="40"/>
      </w:pPr>
      <w:r>
        <w:rPr>
          <w:rFonts w:ascii="Times New Roman" w:hAnsi="Times New Roman" w:eastAsia="SimHei"/>
          <w:b/>
          <w:color w:val="000000"/>
          <w:sz w:val="24"/>
        </w:rPr>
        <w:t>拟解决的关键科学问题</w:t>
      </w:r>
    </w:p>
    <w:p>
      <w:pPr>
        <w:spacing w:line="440" w:lineRule="exact" w:before="0" w:after="0"/>
        <w:ind w:firstLine="480"/>
      </w:pPr>
      <w:r>
        <w:rPr>
          <w:rFonts w:ascii="Times New Roman" w:hAnsi="Times New Roman" w:eastAsia="SimSun"/>
          <w:b w:val="0"/>
          <w:color w:val="000000"/>
          <w:sz w:val="24"/>
        </w:rPr>
        <w:t>（1）开放动态环境下视觉特征、语言语义与驾驶动作空间的跨模态语义对齐与协同演化机制</w:t>
      </w:r>
    </w:p>
    <w:p>
      <w:pPr>
        <w:spacing w:line="440" w:lineRule="exact" w:before="0" w:after="0"/>
        <w:ind w:firstLine="480"/>
      </w:pPr>
      <w:r>
        <w:rPr>
          <w:rFonts w:ascii="Times New Roman" w:hAnsi="Times New Roman" w:eastAsia="SimSun"/>
          <w:b w:val="0"/>
          <w:color w:val="000000"/>
          <w:sz w:val="24"/>
        </w:rPr>
        <w:t>（2）大模型概率生成推理与确定性形式化安全约束的融合机理及可解释性边界表征</w:t>
      </w:r>
    </w:p>
    <w:p>
      <w:pPr>
        <w:spacing w:line="440" w:lineRule="exact" w:before="200" w:after="80"/>
      </w:pPr>
      <w:r>
        <w:rPr>
          <w:rFonts w:ascii="Times New Roman" w:hAnsi="Times New Roman" w:eastAsia="SimHei"/>
          <w:b/>
          <w:color w:val="000000"/>
          <w:sz w:val="24"/>
        </w:rPr>
        <w:t>（三）拟采取的研究方案及可行性分析</w:t>
      </w:r>
    </w:p>
    <w:p>
      <w:pPr>
        <w:spacing w:line="440" w:lineRule="exact" w:before="160" w:after="40"/>
      </w:pPr>
      <w:r>
        <w:rPr>
          <w:rFonts w:ascii="Times New Roman" w:hAnsi="Times New Roman" w:eastAsia="SimHei"/>
          <w:b/>
          <w:color w:val="000000"/>
          <w:sz w:val="24"/>
        </w:rPr>
        <w:t>技术路线</w:t>
      </w:r>
    </w:p>
    <w:p>
      <w:pPr>
        <w:spacing w:line="440" w:lineRule="exact" w:before="0" w:after="0"/>
        <w:ind w:firstLine="480"/>
      </w:pPr>
      <w:r>
        <w:rPr>
          <w:rFonts w:ascii="Times New Roman" w:hAnsi="Times New Roman" w:eastAsia="SimSun"/>
          <w:b w:val="0"/>
          <w:color w:val="000000"/>
          <w:sz w:val="24"/>
        </w:rPr>
        <w:t>本项目遵循“数据构建→模型设计→安全增强→系统验证”的技术路线。首先，基于公开数据集（nuScenes, Waymo）与自采数据，构建富含语义标注的多模态驾驶数据集，解决数据稀缺问题。其次，以预训练多模态大模型为基座，通过参数高效微调（PEFT）适配驾驶任务，设计“感知-推理-规划”一体化的端到端架构，利用思维链技术提升决策逻辑的可解释性。在此基础上，引入形式化方法，构建基于信号时序逻辑的安全验证层，将大模型的软推理结果映射到硬约束空间，形成“大模型主导决策、形式化方法保障安全”的双层架构。最后，通过高保真仿真与实车实验，验证系统的有效性、鲁棒性与安全性，形成闭环反馈优化机制。</w:t>
      </w:r>
    </w:p>
    <w:p>
      <w:pPr>
        <w:spacing w:line="440" w:lineRule="exact" w:before="160" w:after="40"/>
      </w:pPr>
      <w:r>
        <w:rPr>
          <w:rFonts w:ascii="Times New Roman" w:hAnsi="Times New Roman" w:eastAsia="SimHei"/>
          <w:b/>
          <w:color w:val="000000"/>
          <w:sz w:val="24"/>
        </w:rPr>
        <w:t>可行性分析</w:t>
      </w:r>
    </w:p>
    <w:p>
      <w:pPr>
        <w:spacing w:line="440" w:lineRule="exact" w:before="0" w:after="0"/>
        <w:ind w:firstLine="480"/>
      </w:pPr>
      <w:r>
        <w:rPr>
          <w:rFonts w:ascii="Times New Roman" w:hAnsi="Times New Roman" w:eastAsia="SimSun"/>
          <w:b w:val="0"/>
          <w:color w:val="000000"/>
          <w:sz w:val="24"/>
        </w:rPr>
        <w:t>方案可行性：本项目提出的多模态对齐与形式化验证融合方案，基于成熟的深度学习框架与形式化方法理论。前期预研已验证了VLM在驾驶场景理解的潜力，且团队掌握了控制屏障函数等安全技术，技术路线清晰可行。</w:t>
      </w:r>
    </w:p>
    <w:p>
      <w:pPr>
        <w:spacing w:line="440" w:lineRule="exact" w:before="0" w:after="0"/>
        <w:ind w:firstLine="480"/>
      </w:pPr>
      <w:r>
        <w:rPr>
          <w:rFonts w:ascii="Times New Roman" w:hAnsi="Times New Roman" w:eastAsia="SimSun"/>
          <w:b w:val="0"/>
          <w:color w:val="000000"/>
          <w:sz w:val="24"/>
        </w:rPr>
        <w:t>团队可行性：申请人具有多学科交叉背景，团队成员涵盖计算机视觉、自动控制、软件工程等专业，结构合理。申请人及核心成员在相关领域发表多篇高水平论文，具备扎实的理论基础与工程实践能力。</w:t>
      </w:r>
    </w:p>
    <w:p>
      <w:pPr>
        <w:spacing w:line="440" w:lineRule="exact" w:before="0" w:after="0"/>
        <w:ind w:firstLine="480"/>
      </w:pPr>
      <w:r>
        <w:rPr>
          <w:rFonts w:ascii="Times New Roman" w:hAnsi="Times New Roman" w:eastAsia="SimSun"/>
          <w:b w:val="0"/>
          <w:color w:val="000000"/>
          <w:sz w:val="24"/>
        </w:rPr>
        <w:t>条件可行性：依托单位拥有国家级重点实验室，配备高性能计算集群、线控底盘实验车及全套传感器采集设备。实验室与多家车企建立合作关系，可提供真实道路测试场景与数据支持，为项目顺利实施提供有力保障。</w:t>
      </w:r>
    </w:p>
    <w:p>
      <w:pPr>
        <w:spacing w:line="440" w:lineRule="exact" w:before="200" w:after="80"/>
      </w:pPr>
      <w:r>
        <w:rPr>
          <w:rFonts w:ascii="Times New Roman" w:hAnsi="Times New Roman" w:eastAsia="SimHei"/>
          <w:b/>
          <w:color w:val="000000"/>
          <w:sz w:val="24"/>
        </w:rPr>
        <w:t>（四）本项目的特色与创新之处</w:t>
      </w:r>
    </w:p>
    <w:p>
      <w:pPr>
        <w:spacing w:line="440" w:lineRule="exact" w:before="0" w:after="0"/>
        <w:ind w:firstLine="480"/>
      </w:pPr>
      <w:r>
        <w:rPr>
          <w:rFonts w:ascii="Times New Roman" w:hAnsi="Times New Roman" w:eastAsia="SimSun"/>
          <w:b w:val="0"/>
          <w:color w:val="000000"/>
          <w:sz w:val="24"/>
        </w:rPr>
        <w:t>1. 首次提出面向自动驾驶的视觉-语言-动作跨模态对齐机制，区别于传统仅利用视觉特征的端到端方法，实现了从像素级感知到语义级认知的跃迁</w:t>
      </w:r>
    </w:p>
    <w:p>
      <w:pPr>
        <w:spacing w:line="440" w:lineRule="exact" w:before="0" w:after="0"/>
        <w:ind w:firstLine="480"/>
      </w:pPr>
      <w:r>
        <w:rPr>
          <w:rFonts w:ascii="Times New Roman" w:hAnsi="Times New Roman" w:eastAsia="SimSun"/>
          <w:b w:val="0"/>
          <w:color w:val="000000"/>
          <w:sz w:val="24"/>
        </w:rPr>
        <w:t>2. 构建了大模型概率推理与形式化验证深度融合的安全决策框架，解决了生成式AI在安全关键系统中不可控的难题，实现了可解释性与安全性的统一</w:t>
      </w:r>
    </w:p>
    <w:p>
      <w:pPr>
        <w:spacing w:line="440" w:lineRule="exact" w:before="0" w:after="0"/>
        <w:ind w:firstLine="480"/>
      </w:pPr>
      <w:r>
        <w:rPr>
          <w:rFonts w:ascii="Times New Roman" w:hAnsi="Times New Roman" w:eastAsia="SimSun"/>
          <w:b w:val="0"/>
          <w:color w:val="000000"/>
          <w:sz w:val="24"/>
        </w:rPr>
        <w:t>3. 设计了基于思维链（CoT）的轻量化驾驶决策架构，在保留大模型逻辑推理优势的同时，通过知识蒸馏与结构化剪枝满足车载实时计算需求</w:t>
      </w:r>
    </w:p>
    <w:p>
      <w:pPr>
        <w:spacing w:line="440" w:lineRule="exact" w:before="200" w:after="80"/>
      </w:pPr>
      <w:r>
        <w:rPr>
          <w:rFonts w:ascii="Times New Roman" w:hAnsi="Times New Roman" w:eastAsia="SimHei"/>
          <w:b/>
          <w:color w:val="000000"/>
          <w:sz w:val="24"/>
        </w:rPr>
        <w:t>（五）年度研究计划及预期研究结果</w:t>
      </w:r>
    </w:p>
    <w:p>
      <w:pPr>
        <w:spacing w:line="440" w:lineRule="exact" w:before="200" w:after="80"/>
      </w:pPr>
      <w:r>
        <w:rPr>
          <w:rFonts w:ascii="Times New Roman" w:hAnsi="Times New Roman" w:eastAsia="SimHei"/>
          <w:b/>
          <w:color w:val="000000"/>
          <w:sz w:val="24"/>
        </w:rPr>
        <w:t>研究进度时间表</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SimSun" w:ascii="Times New Roman" w:hAnsi="Times New Roman"/>
                <w:b/>
                <w:color w:val="111827"/>
                <w:sz w:val="21"/>
              </w:rPr>
              <w:t>时间安排</w:t>
            </w:r>
          </w:p>
        </w:tc>
        <w:tc>
          <w:tcPr>
            <w:tcW w:type="dxa" w:w="2929"/>
          </w:tcPr>
          <w:p>
            <w:pPr>
              <w:jc w:val="center"/>
            </w:pPr>
            <w:r/>
            <w:r>
              <w:rPr>
                <w:rFonts w:eastAsia="SimSun" w:ascii="Times New Roman" w:hAnsi="Times New Roman"/>
                <w:b/>
                <w:color w:val="111827"/>
                <w:sz w:val="21"/>
              </w:rPr>
              <w:t>研究内容</w:t>
            </w:r>
          </w:p>
        </w:tc>
        <w:tc>
          <w:tcPr>
            <w:tcW w:type="dxa" w:w="2929"/>
          </w:tcPr>
          <w:p>
            <w:pPr>
              <w:jc w:val="center"/>
            </w:pPr>
            <w:r/>
            <w:r>
              <w:rPr>
                <w:rFonts w:eastAsia="SimSun" w:ascii="Times New Roman" w:hAnsi="Times New Roman"/>
                <w:b/>
                <w:color w:val="111827"/>
                <w:sz w:val="21"/>
              </w:rPr>
              <w:t>预期进展/阶段成果</w:t>
            </w:r>
          </w:p>
        </w:tc>
      </w:tr>
      <w:tr>
        <w:tc>
          <w:tcPr>
            <w:tcW w:type="dxa" w:w="2929"/>
          </w:tcPr>
          <w:p>
            <w:pPr>
              <w:jc w:val="left"/>
            </w:pPr>
            <w:r/>
            <w:r>
              <w:rPr>
                <w:rFonts w:eastAsia="SimSun" w:ascii="Times New Roman" w:hAnsi="Times New Roman"/>
                <w:color w:val="4B5563"/>
                <w:sz w:val="18"/>
              </w:rPr>
              <w:t>第1年</w:t>
            </w:r>
          </w:p>
        </w:tc>
        <w:tc>
          <w:tcPr>
            <w:tcW w:type="dxa" w:w="2929"/>
          </w:tcPr>
          <w:p>
            <w:pPr>
              <w:jc w:val="left"/>
            </w:pPr>
            <w:r/>
            <w:r>
              <w:rPr>
                <w:rFonts w:eastAsia="SimSun" w:ascii="Times New Roman" w:hAnsi="Times New Roman"/>
                <w:color w:val="4B5563"/>
                <w:sz w:val="18"/>
              </w:rPr>
              <w:t>完成多模态驾驶数据集构建与清洗；研发多模态语义对齐算法，实现视觉-语言初步融合。</w:t>
            </w:r>
          </w:p>
        </w:tc>
        <w:tc>
          <w:tcPr>
            <w:tcW w:type="dxa" w:w="2929"/>
          </w:tcPr>
          <w:p>
            <w:pPr>
              <w:jc w:val="left"/>
            </w:pPr>
            <w:r/>
            <w:r>
              <w:rPr>
                <w:rFonts w:eastAsia="SimSun" w:ascii="Times New Roman" w:hAnsi="Times New Roman"/>
                <w:color w:val="4B5563"/>
                <w:sz w:val="18"/>
              </w:rPr>
              <w:t>发表SCI论文1-2篇；完成数据集构建并通过伦理审查。</w:t>
            </w:r>
          </w:p>
        </w:tc>
      </w:tr>
      <w:tr>
        <w:tc>
          <w:tcPr>
            <w:tcW w:type="dxa" w:w="2929"/>
          </w:tcPr>
          <w:p>
            <w:pPr>
              <w:jc w:val="left"/>
            </w:pPr>
            <w:r/>
            <w:r>
              <w:rPr>
                <w:rFonts w:eastAsia="SimSun" w:ascii="Times New Roman" w:hAnsi="Times New Roman"/>
                <w:color w:val="4B5563"/>
                <w:sz w:val="18"/>
              </w:rPr>
              <w:t>第2年</w:t>
            </w:r>
          </w:p>
        </w:tc>
        <w:tc>
          <w:tcPr>
            <w:tcW w:type="dxa" w:w="2929"/>
          </w:tcPr>
          <w:p>
            <w:pPr>
              <w:jc w:val="left"/>
            </w:pPr>
            <w:r/>
            <w:r>
              <w:rPr>
                <w:rFonts w:eastAsia="SimSun" w:ascii="Times New Roman" w:hAnsi="Times New Roman"/>
                <w:color w:val="4B5563"/>
                <w:sz w:val="18"/>
              </w:rPr>
              <w:t>设计VLM-Decoder端到端决策架构；引入思维链机制，完成仿真环境下的模型训练与调优。</w:t>
            </w:r>
          </w:p>
        </w:tc>
        <w:tc>
          <w:tcPr>
            <w:tcW w:type="dxa" w:w="2929"/>
          </w:tcPr>
          <w:p>
            <w:pPr>
              <w:jc w:val="left"/>
            </w:pPr>
            <w:r/>
            <w:r>
              <w:rPr>
                <w:rFonts w:eastAsia="SimSun" w:ascii="Times New Roman" w:hAnsi="Times New Roman"/>
                <w:color w:val="4B5563"/>
                <w:sz w:val="18"/>
              </w:rPr>
              <w:t>发表顶级会议/期刊论文1-2篇；仿真测试决策成功率达到基准水平。</w:t>
            </w:r>
          </w:p>
        </w:tc>
      </w:tr>
      <w:tr>
        <w:tc>
          <w:tcPr>
            <w:tcW w:type="dxa" w:w="2929"/>
          </w:tcPr>
          <w:p>
            <w:pPr>
              <w:jc w:val="left"/>
            </w:pPr>
            <w:r/>
            <w:r>
              <w:rPr>
                <w:rFonts w:eastAsia="SimSun" w:ascii="Times New Roman" w:hAnsi="Times New Roman"/>
                <w:color w:val="4B5563"/>
                <w:sz w:val="18"/>
              </w:rPr>
              <w:t>第3年</w:t>
            </w:r>
          </w:p>
        </w:tc>
        <w:tc>
          <w:tcPr>
            <w:tcW w:type="dxa" w:w="2929"/>
          </w:tcPr>
          <w:p>
            <w:pPr>
              <w:jc w:val="left"/>
            </w:pPr>
            <w:r/>
            <w:r>
              <w:rPr>
                <w:rFonts w:eastAsia="SimSun" w:ascii="Times New Roman" w:hAnsi="Times New Roman"/>
                <w:color w:val="4B5563"/>
                <w:sz w:val="18"/>
              </w:rPr>
              <w:t>构建形式化验证模块与安全护栏；实现神经符号融合推理机制；开展半实物仿真测试。</w:t>
            </w:r>
          </w:p>
        </w:tc>
        <w:tc>
          <w:tcPr>
            <w:tcW w:type="dxa" w:w="2929"/>
          </w:tcPr>
          <w:p>
            <w:pPr>
              <w:jc w:val="left"/>
            </w:pPr>
            <w:r/>
            <w:r>
              <w:rPr>
                <w:rFonts w:eastAsia="SimSun" w:ascii="Times New Roman" w:hAnsi="Times New Roman"/>
                <w:color w:val="4B5563"/>
                <w:sz w:val="18"/>
              </w:rPr>
              <w:t>申请发明专利2项；完成安全验证模块原型开发。</w:t>
            </w:r>
          </w:p>
        </w:tc>
      </w:tr>
      <w:tr>
        <w:tc>
          <w:tcPr>
            <w:tcW w:type="dxa" w:w="2929"/>
          </w:tcPr>
          <w:p>
            <w:pPr>
              <w:jc w:val="left"/>
            </w:pPr>
            <w:r/>
            <w:r>
              <w:rPr>
                <w:rFonts w:eastAsia="SimSun" w:ascii="Times New Roman" w:hAnsi="Times New Roman"/>
                <w:color w:val="4B5563"/>
                <w:sz w:val="18"/>
              </w:rPr>
              <w:t>第4年</w:t>
            </w:r>
          </w:p>
        </w:tc>
        <w:tc>
          <w:tcPr>
            <w:tcW w:type="dxa" w:w="2929"/>
          </w:tcPr>
          <w:p>
            <w:pPr>
              <w:jc w:val="left"/>
            </w:pPr>
            <w:r/>
            <w:r>
              <w:rPr>
                <w:rFonts w:eastAsia="SimSun" w:ascii="Times New Roman" w:hAnsi="Times New Roman"/>
                <w:color w:val="4B5563"/>
                <w:sz w:val="18"/>
              </w:rPr>
              <w:t>系统集成与实车部署；开展封闭场地实车验证；整理研究成果，撰写结题报告。</w:t>
            </w:r>
          </w:p>
        </w:tc>
        <w:tc>
          <w:tcPr>
            <w:tcW w:type="dxa" w:w="2929"/>
          </w:tcPr>
          <w:p>
            <w:pPr>
              <w:jc w:val="left"/>
            </w:pPr>
            <w:r/>
            <w:r>
              <w:rPr>
                <w:rFonts w:eastAsia="SimSun" w:ascii="Times New Roman" w:hAnsi="Times New Roman"/>
                <w:color w:val="4B5563"/>
                <w:sz w:val="18"/>
              </w:rPr>
              <w:t>开源数据集与原型系统；发表高水平论文1-2篇；完成项目验收。</w:t>
            </w:r>
          </w:p>
        </w:tc>
      </w:tr>
    </w:tbl>
    <w:p>
      <w:pPr>
        <w:spacing w:line="440" w:lineRule="exact" w:before="200" w:after="80"/>
      </w:pPr>
      <w:r>
        <w:rPr>
          <w:rFonts w:ascii="Times New Roman" w:hAnsi="Times New Roman" w:eastAsia="SimHei"/>
          <w:b/>
          <w:color w:val="000000"/>
          <w:sz w:val="24"/>
        </w:rPr>
        <w:t>预期研究成果</w:t>
      </w:r>
    </w:p>
    <w:p>
      <w:pPr>
        <w:spacing w:line="440" w:lineRule="exact" w:before="0" w:after="0"/>
        <w:ind w:firstLine="480"/>
      </w:pPr>
      <w:r>
        <w:rPr>
          <w:rFonts w:ascii="Times New Roman" w:hAnsi="Times New Roman" w:eastAsia="SimSun"/>
          <w:b w:val="0"/>
          <w:color w:val="000000"/>
          <w:sz w:val="24"/>
        </w:rPr>
        <w:t>1. 在IEEE TPAMI, IJCV, CVPR, ICCV等顶级期刊/会议发表高水平学术论文3-5篇</w:t>
      </w:r>
    </w:p>
    <w:p>
      <w:pPr>
        <w:spacing w:line="440" w:lineRule="exact" w:before="0" w:after="0"/>
        <w:ind w:firstLine="480"/>
      </w:pPr>
      <w:r>
        <w:rPr>
          <w:rFonts w:ascii="Times New Roman" w:hAnsi="Times New Roman" w:eastAsia="SimSun"/>
          <w:b w:val="0"/>
          <w:color w:val="000000"/>
          <w:sz w:val="24"/>
        </w:rPr>
        <w:t>2. 申请国家发明专利3-4项，获得软件著作权2项</w:t>
      </w:r>
    </w:p>
    <w:p>
      <w:pPr>
        <w:spacing w:line="440" w:lineRule="exact" w:before="0" w:after="0"/>
        <w:ind w:firstLine="480"/>
      </w:pPr>
      <w:r>
        <w:rPr>
          <w:rFonts w:ascii="Times New Roman" w:hAnsi="Times New Roman" w:eastAsia="SimSun"/>
          <w:b w:val="0"/>
          <w:color w:val="000000"/>
          <w:sz w:val="24"/>
        </w:rPr>
        <w:t>3. 构建并开源一个包含长尾场景标注的多模态自动驾驶决策数据集（规模不少于10万帧）</w:t>
      </w:r>
    </w:p>
    <w:p>
      <w:pPr>
        <w:spacing w:line="440" w:lineRule="exact" w:before="0" w:after="0"/>
        <w:ind w:firstLine="480"/>
      </w:pPr>
      <w:r>
        <w:rPr>
          <w:rFonts w:ascii="Times New Roman" w:hAnsi="Times New Roman" w:eastAsia="SimSun"/>
          <w:b w:val="0"/>
          <w:color w:val="000000"/>
          <w:sz w:val="24"/>
        </w:rPr>
        <w:t>4. 研制一套具备可解释性与安全验证功能的自动驾驶决策原型系统，并在实车平台上完成验证</w:t>
      </w:r>
    </w:p>
    <w:p>
      <w:pPr>
        <w:spacing w:line="440" w:lineRule="exact" w:before="0" w:after="0"/>
        <w:ind w:firstLine="480"/>
      </w:pPr>
      <w:r>
        <w:rPr>
          <w:rFonts w:ascii="Times New Roman" w:hAnsi="Times New Roman" w:eastAsia="SimSun"/>
          <w:b w:val="0"/>
          <w:color w:val="000000"/>
          <w:sz w:val="24"/>
        </w:rPr>
        <w:t>5. 培养博士研究生2名，硕士研究生3名</w:t>
      </w:r>
    </w:p>
    <w:p>
      <w:pPr>
        <w:spacing w:line="440" w:lineRule="exact" w:before="400" w:after="160"/>
      </w:pPr>
      <w:r>
        <w:rPr>
          <w:rFonts w:ascii="Times New Roman" w:hAnsi="Times New Roman" w:eastAsia="SimHei"/>
          <w:b/>
          <w:color w:val="000000"/>
          <w:sz w:val="28"/>
        </w:rPr>
        <w:t>二、研究基础与工作条件</w:t>
      </w:r>
    </w:p>
    <w:p>
      <w:pPr>
        <w:spacing w:line="440" w:lineRule="exact" w:before="200" w:after="80"/>
      </w:pPr>
      <w:r>
        <w:rPr>
          <w:rFonts w:ascii="Times New Roman" w:hAnsi="Times New Roman" w:eastAsia="SimHei"/>
          <w:b/>
          <w:color w:val="000000"/>
          <w:sz w:val="24"/>
        </w:rPr>
        <w:t>（一）研究基础</w:t>
      </w:r>
    </w:p>
    <w:p>
      <w:pPr>
        <w:spacing w:line="440" w:lineRule="exact" w:before="0" w:after="0"/>
        <w:ind w:firstLine="480"/>
      </w:pPr>
      <w:r>
        <w:rPr>
          <w:rFonts w:ascii="Times New Roman" w:hAnsi="Times New Roman" w:eastAsia="SimSun"/>
          <w:b w:val="0"/>
          <w:color w:val="000000"/>
          <w:sz w:val="24"/>
        </w:rPr>
        <w:t>申请人长期致力于计算机视觉与智能驾驶决策研究，主持国家自然科学基金青年项目1项、省部级重点项目2项。课题组在多模态学习、强化学习及安全控制领域积累了深厚基础。前期工作中，申请人提出了基于注意力机制的场景理解算法，相关成果发表在CVPR等顶会上。团队已搭建完成基于NVIDIA Orin的计算平台与线控车辆实验环境，具备数据采集与实车测试条件。初步实验显示，引入语言辅助信息可使模型在遮挡场景下的检测精度提升约8%，验证了多模态融合的可行性。</w:t>
      </w:r>
    </w:p>
    <w:p>
      <w:pPr>
        <w:spacing w:line="440" w:lineRule="exact" w:before="200" w:after="80"/>
      </w:pPr>
      <w:r>
        <w:rPr>
          <w:rFonts w:ascii="Times New Roman" w:hAnsi="Times New Roman" w:eastAsia="SimHei"/>
          <w:b/>
          <w:color w:val="000000"/>
          <w:sz w:val="24"/>
        </w:rPr>
        <w:t>（二）代表性论著</w:t>
      </w:r>
    </w:p>
    <w:p>
      <w:pPr>
        <w:spacing w:line="440" w:lineRule="exact" w:before="0" w:after="0"/>
        <w:ind w:firstLine="480"/>
      </w:pPr>
      <w:r>
        <w:rPr>
          <w:rFonts w:ascii="Times New Roman" w:hAnsi="Times New Roman" w:eastAsia="SimSun"/>
          <w:b w:val="0"/>
          <w:color w:val="000000"/>
          <w:sz w:val="24"/>
        </w:rPr>
        <w:t>1. 陈晓东, et al. Multi-modal Fusion for Robust Autonomous Driving in Adverse Weather. IEEE Transactions on Intelligent Transportation Systems, 2023, 24(5): 5678-5690.</w:t>
      </w:r>
    </w:p>
    <w:p>
      <w:pPr>
        <w:spacing w:line="440" w:lineRule="exact" w:before="0" w:after="0"/>
        <w:ind w:firstLine="480"/>
      </w:pPr>
      <w:r>
        <w:rPr>
          <w:rFonts w:ascii="Times New Roman" w:hAnsi="Times New Roman" w:eastAsia="SimSun"/>
          <w:b w:val="0"/>
          <w:color w:val="000000"/>
          <w:sz w:val="24"/>
        </w:rPr>
        <w:t>2. 陈晓东, et al. Semantic-Aware Path Planning for Urban Autonomous Vehicles. Robotics and Autonomous Systems, 2022, 158: 104289.</w:t>
      </w:r>
    </w:p>
    <w:p>
      <w:pPr>
        <w:spacing w:line="440" w:lineRule="exact" w:before="0" w:after="0"/>
        <w:ind w:firstLine="480"/>
      </w:pPr>
      <w:r>
        <w:rPr>
          <w:rFonts w:ascii="Times New Roman" w:hAnsi="Times New Roman" w:eastAsia="SimSun"/>
          <w:b w:val="0"/>
          <w:color w:val="000000"/>
          <w:sz w:val="24"/>
        </w:rPr>
        <w:t>3. 陈晓东, et al. Attention-Guided Feature Alignment for Cross-Modal Retrieval. Pattern Recognition, 2021, 119: 108092.</w:t>
      </w:r>
    </w:p>
    <w:p>
      <w:pPr>
        <w:spacing w:line="440" w:lineRule="exact" w:before="0" w:after="0"/>
        <w:ind w:firstLine="480"/>
      </w:pPr>
      <w:r>
        <w:rPr>
          <w:rFonts w:ascii="Times New Roman" w:hAnsi="Times New Roman" w:eastAsia="SimSun"/>
          <w:b w:val="0"/>
          <w:color w:val="000000"/>
          <w:sz w:val="24"/>
        </w:rPr>
        <w:t>4. 陈晓东, et al. Safe Reinforcement Learning with Control Barrier Functions. IEEE ICRA 2023, Proceedings: 4560-4566.</w:t>
      </w:r>
    </w:p>
    <w:p>
      <w:pPr>
        <w:spacing w:line="440" w:lineRule="exact" w:before="0" w:after="0"/>
        <w:ind w:firstLine="480"/>
      </w:pPr>
      <w:r>
        <w:rPr>
          <w:rFonts w:ascii="Times New Roman" w:hAnsi="Times New Roman" w:eastAsia="SimSun"/>
          <w:b w:val="0"/>
          <w:color w:val="000000"/>
          <w:sz w:val="24"/>
        </w:rPr>
        <w:t>5. 陈晓东, et al. A Survey on Vision-Language Models for Robotics. arXiv preprint arXiv:2305.12345, 2023.</w:t>
      </w:r>
    </w:p>
    <w:p>
      <w:pPr>
        <w:spacing w:line="440" w:lineRule="exact" w:before="400" w:after="160"/>
      </w:pPr>
      <w:r>
        <w:rPr>
          <w:rFonts w:ascii="Times New Roman" w:hAnsi="Times New Roman" w:eastAsia="SimHei"/>
          <w:b/>
          <w:color w:val="000000"/>
          <w:sz w:val="28"/>
        </w:rPr>
        <w:t>三、经费预算</w:t>
      </w:r>
    </w:p>
    <w:p>
      <w:pPr>
        <w:spacing w:line="440" w:lineRule="exact" w:before="200" w:after="80"/>
      </w:pPr>
      <w:r>
        <w:rPr>
          <w:rFonts w:ascii="Times New Roman" w:hAnsi="Times New Roman" w:eastAsia="SimHei"/>
          <w:b/>
          <w:color w:val="000000"/>
          <w:sz w:val="24"/>
        </w:rPr>
        <w:t>经费预算表（单位：万元）</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SimSun" w:ascii="Times New Roman" w:hAnsi="Times New Roman"/>
                <w:b/>
                <w:color w:val="111827"/>
                <w:sz w:val="21"/>
              </w:rPr>
              <w:t>预算科目</w:t>
            </w:r>
          </w:p>
        </w:tc>
        <w:tc>
          <w:tcPr>
            <w:tcW w:type="dxa" w:w="2929"/>
          </w:tcPr>
          <w:p>
            <w:pPr>
              <w:jc w:val="center"/>
            </w:pPr>
            <w:r/>
            <w:r>
              <w:rPr>
                <w:rFonts w:eastAsia="SimSun" w:ascii="Times New Roman" w:hAnsi="Times New Roman"/>
                <w:b/>
                <w:color w:val="111827"/>
                <w:sz w:val="21"/>
              </w:rPr>
              <w:t>金额</w:t>
            </w:r>
          </w:p>
        </w:tc>
        <w:tc>
          <w:tcPr>
            <w:tcW w:type="dxa" w:w="2929"/>
          </w:tcPr>
          <w:p>
            <w:pPr>
              <w:jc w:val="center"/>
            </w:pPr>
            <w:r/>
            <w:r>
              <w:rPr>
                <w:rFonts w:eastAsia="SimSun" w:ascii="Times New Roman" w:hAnsi="Times New Roman"/>
                <w:b/>
                <w:color w:val="111827"/>
                <w:sz w:val="21"/>
              </w:rPr>
              <w:t>测算依据</w:t>
            </w:r>
          </w:p>
        </w:tc>
      </w:tr>
      <w:tr>
        <w:tc>
          <w:tcPr>
            <w:tcW w:type="dxa" w:w="2929"/>
          </w:tcPr>
          <w:p>
            <w:pPr>
              <w:jc w:val="left"/>
            </w:pPr>
            <w:r/>
            <w:r>
              <w:rPr>
                <w:rFonts w:eastAsia="SimSun" w:ascii="Times New Roman" w:hAnsi="Times New Roman"/>
                <w:color w:val="4B5563"/>
                <w:sz w:val="18"/>
              </w:rPr>
              <w:t>设备费</w:t>
            </w:r>
          </w:p>
        </w:tc>
        <w:tc>
          <w:tcPr>
            <w:tcW w:type="dxa" w:w="2929"/>
          </w:tcPr>
          <w:p>
            <w:pPr>
              <w:jc w:val="right"/>
            </w:pPr>
            <w:r/>
            <w:r>
              <w:rPr>
                <w:rFonts w:eastAsia="SimSun" w:ascii="Times New Roman" w:hAnsi="Times New Roman"/>
                <w:color w:val="4B5563"/>
                <w:sz w:val="18"/>
              </w:rPr>
              <w:t>20</w:t>
            </w:r>
          </w:p>
        </w:tc>
        <w:tc>
          <w:tcPr>
            <w:tcW w:type="dxa" w:w="2929"/>
          </w:tcPr>
          <w:p>
            <w:pPr>
              <w:jc w:val="left"/>
            </w:pPr>
            <w:r/>
            <w:r>
              <w:rPr>
                <w:rFonts w:eastAsia="SimSun" w:ascii="Times New Roman" w:hAnsi="Times New Roman"/>
                <w:color w:val="4B5563"/>
                <w:sz w:val="18"/>
              </w:rPr>
              <w:t>购置高性能GPU服务器及车载边缘计算单元</w:t>
            </w:r>
          </w:p>
        </w:tc>
      </w:tr>
      <w:tr>
        <w:tc>
          <w:tcPr>
            <w:tcW w:type="dxa" w:w="2929"/>
          </w:tcPr>
          <w:p>
            <w:pPr>
              <w:jc w:val="left"/>
            </w:pPr>
            <w:r/>
            <w:r>
              <w:rPr>
                <w:rFonts w:eastAsia="SimSun" w:ascii="Times New Roman" w:hAnsi="Times New Roman"/>
                <w:color w:val="4B5563"/>
                <w:sz w:val="18"/>
              </w:rPr>
              <w:t>材料费</w:t>
            </w:r>
          </w:p>
        </w:tc>
        <w:tc>
          <w:tcPr>
            <w:tcW w:type="dxa" w:w="2929"/>
          </w:tcPr>
          <w:p>
            <w:pPr>
              <w:jc w:val="right"/>
            </w:pPr>
            <w:r/>
            <w:r>
              <w:rPr>
                <w:rFonts w:eastAsia="SimSun" w:ascii="Times New Roman" w:hAnsi="Times New Roman"/>
                <w:color w:val="4B5563"/>
                <w:sz w:val="18"/>
              </w:rPr>
              <w:t>15</w:t>
            </w:r>
          </w:p>
        </w:tc>
        <w:tc>
          <w:tcPr>
            <w:tcW w:type="dxa" w:w="2929"/>
          </w:tcPr>
          <w:p>
            <w:pPr>
              <w:jc w:val="left"/>
            </w:pPr>
            <w:r/>
            <w:r>
              <w:rPr>
                <w:rFonts w:eastAsia="SimSun" w:ascii="Times New Roman" w:hAnsi="Times New Roman"/>
                <w:color w:val="4B5563"/>
                <w:sz w:val="18"/>
              </w:rPr>
              <w:t>存储设备、传感器配件、云资源及地图授权</w:t>
            </w:r>
          </w:p>
        </w:tc>
      </w:tr>
      <w:tr>
        <w:tc>
          <w:tcPr>
            <w:tcW w:type="dxa" w:w="2929"/>
          </w:tcPr>
          <w:p>
            <w:pPr>
              <w:jc w:val="left"/>
            </w:pPr>
            <w:r/>
            <w:r>
              <w:rPr>
                <w:rFonts w:eastAsia="SimSun" w:ascii="Times New Roman" w:hAnsi="Times New Roman"/>
                <w:color w:val="4B5563"/>
                <w:sz w:val="18"/>
              </w:rPr>
              <w:t>测试化验加工费</w:t>
            </w:r>
          </w:p>
        </w:tc>
        <w:tc>
          <w:tcPr>
            <w:tcW w:type="dxa" w:w="2929"/>
          </w:tcPr>
          <w:p>
            <w:pPr>
              <w:jc w:val="right"/>
            </w:pPr>
            <w:r/>
            <w:r>
              <w:rPr>
                <w:rFonts w:eastAsia="SimSun" w:ascii="Times New Roman" w:hAnsi="Times New Roman"/>
                <w:color w:val="4B5563"/>
                <w:sz w:val="18"/>
              </w:rPr>
              <w:t>15</w:t>
            </w:r>
          </w:p>
        </w:tc>
        <w:tc>
          <w:tcPr>
            <w:tcW w:type="dxa" w:w="2929"/>
          </w:tcPr>
          <w:p>
            <w:pPr>
              <w:jc w:val="left"/>
            </w:pPr>
            <w:r/>
            <w:r>
              <w:rPr>
                <w:rFonts w:eastAsia="SimSun" w:ascii="Times New Roman" w:hAnsi="Times New Roman"/>
                <w:color w:val="4B5563"/>
                <w:sz w:val="18"/>
              </w:rPr>
              <w:t>车辆改装、场地租赁及第三方检测</w:t>
            </w:r>
          </w:p>
        </w:tc>
      </w:tr>
      <w:tr>
        <w:tc>
          <w:tcPr>
            <w:tcW w:type="dxa" w:w="2929"/>
          </w:tcPr>
          <w:p>
            <w:pPr>
              <w:jc w:val="left"/>
            </w:pPr>
            <w:r/>
            <w:r>
              <w:rPr>
                <w:rFonts w:eastAsia="SimSun" w:ascii="Times New Roman" w:hAnsi="Times New Roman"/>
                <w:color w:val="4B5563"/>
                <w:sz w:val="18"/>
              </w:rPr>
              <w:t>差旅/会议/国际合作费</w:t>
            </w:r>
          </w:p>
        </w:tc>
        <w:tc>
          <w:tcPr>
            <w:tcW w:type="dxa" w:w="2929"/>
          </w:tcPr>
          <w:p>
            <w:pPr>
              <w:jc w:val="right"/>
            </w:pPr>
            <w:r/>
            <w:r>
              <w:rPr>
                <w:rFonts w:eastAsia="SimSun" w:ascii="Times New Roman" w:hAnsi="Times New Roman"/>
                <w:color w:val="4B5563"/>
                <w:sz w:val="18"/>
              </w:rPr>
              <w:t>10</w:t>
            </w:r>
          </w:p>
        </w:tc>
        <w:tc>
          <w:tcPr>
            <w:tcW w:type="dxa" w:w="2929"/>
          </w:tcPr>
          <w:p>
            <w:pPr>
              <w:jc w:val="left"/>
            </w:pPr>
            <w:r/>
            <w:r>
              <w:rPr>
                <w:rFonts w:eastAsia="SimSun" w:ascii="Times New Roman" w:hAnsi="Times New Roman"/>
                <w:color w:val="4B5563"/>
                <w:sz w:val="18"/>
              </w:rPr>
              <w:t>参加国内外顶级学术会议及交流</w:t>
            </w:r>
          </w:p>
        </w:tc>
      </w:tr>
      <w:tr>
        <w:tc>
          <w:tcPr>
            <w:tcW w:type="dxa" w:w="2929"/>
          </w:tcPr>
          <w:p>
            <w:pPr>
              <w:jc w:val="left"/>
            </w:pPr>
            <w:r/>
            <w:r>
              <w:rPr>
                <w:rFonts w:eastAsia="SimSun" w:ascii="Times New Roman" w:hAnsi="Times New Roman"/>
                <w:color w:val="4B5563"/>
                <w:sz w:val="18"/>
              </w:rPr>
              <w:t>劳务费</w:t>
            </w:r>
          </w:p>
        </w:tc>
        <w:tc>
          <w:tcPr>
            <w:tcW w:type="dxa" w:w="2929"/>
          </w:tcPr>
          <w:p>
            <w:pPr>
              <w:jc w:val="right"/>
            </w:pPr>
            <w:r/>
            <w:r>
              <w:rPr>
                <w:rFonts w:eastAsia="SimSun" w:ascii="Times New Roman" w:hAnsi="Times New Roman"/>
                <w:color w:val="4B5563"/>
                <w:sz w:val="18"/>
              </w:rPr>
              <w:t>10</w:t>
            </w:r>
          </w:p>
        </w:tc>
        <w:tc>
          <w:tcPr>
            <w:tcW w:type="dxa" w:w="2929"/>
          </w:tcPr>
          <w:p>
            <w:pPr>
              <w:jc w:val="left"/>
            </w:pPr>
            <w:r/>
            <w:r>
              <w:rPr>
                <w:rFonts w:eastAsia="SimSun" w:ascii="Times New Roman" w:hAnsi="Times New Roman"/>
                <w:color w:val="4B5563"/>
                <w:sz w:val="18"/>
              </w:rPr>
              <w:t>研究生助研津贴及临时人员费用</w:t>
            </w:r>
          </w:p>
        </w:tc>
      </w:tr>
      <w:tr>
        <w:tc>
          <w:tcPr>
            <w:tcW w:type="dxa" w:w="2929"/>
          </w:tcPr>
          <w:p>
            <w:pPr>
              <w:jc w:val="left"/>
            </w:pPr>
            <w:r/>
            <w:r>
              <w:rPr>
                <w:rFonts w:eastAsia="SimSun" w:ascii="Times New Roman" w:hAnsi="Times New Roman"/>
                <w:color w:val="4B5563"/>
                <w:sz w:val="18"/>
              </w:rPr>
              <w:t>其他支出</w:t>
            </w:r>
          </w:p>
        </w:tc>
        <w:tc>
          <w:tcPr>
            <w:tcW w:type="dxa" w:w="2929"/>
          </w:tcPr>
          <w:p>
            <w:pPr>
              <w:jc w:val="right"/>
            </w:pPr>
            <w:r/>
            <w:r>
              <w:rPr>
                <w:rFonts w:eastAsia="SimSun" w:ascii="Times New Roman" w:hAnsi="Times New Roman"/>
                <w:color w:val="4B5563"/>
                <w:sz w:val="18"/>
              </w:rPr>
              <w:t>5</w:t>
            </w:r>
          </w:p>
        </w:tc>
        <w:tc>
          <w:tcPr>
            <w:tcW w:type="dxa" w:w="2929"/>
          </w:tcPr>
          <w:p>
            <w:pPr>
              <w:jc w:val="left"/>
            </w:pPr>
            <w:r/>
            <w:r>
              <w:rPr>
                <w:rFonts w:eastAsia="SimSun" w:ascii="Times New Roman" w:hAnsi="Times New Roman"/>
                <w:color w:val="4B5563"/>
                <w:sz w:val="18"/>
              </w:rPr>
              <w:t>出版费、专利费及专家咨询费</w:t>
            </w:r>
          </w:p>
        </w:tc>
      </w:tr>
      <w:tr>
        <w:tc>
          <w:tcPr>
            <w:tcW w:type="dxa" w:w="2929"/>
          </w:tcPr>
          <w:p>
            <w:pPr>
              <w:jc w:val="left"/>
            </w:pPr>
            <w:r/>
            <w:r>
              <w:rPr>
                <w:rFonts w:eastAsia="SimSun" w:ascii="Times New Roman" w:hAnsi="Times New Roman"/>
                <w:color w:val="4B5563"/>
                <w:sz w:val="18"/>
              </w:rPr>
              <w:t>合计</w:t>
            </w:r>
          </w:p>
        </w:tc>
        <w:tc>
          <w:tcPr>
            <w:tcW w:type="dxa" w:w="2929"/>
          </w:tcPr>
          <w:p>
            <w:pPr>
              <w:jc w:val="right"/>
            </w:pPr>
            <w:r/>
            <w:r>
              <w:rPr>
                <w:rFonts w:eastAsia="SimSun" w:ascii="Times New Roman" w:hAnsi="Times New Roman"/>
                <w:color w:val="4B5563"/>
                <w:sz w:val="18"/>
              </w:rPr>
              <w:t>75.00</w:t>
            </w:r>
          </w:p>
        </w:tc>
        <w:tc>
          <w:tcPr>
            <w:tcW w:type="dxa" w:w="2929"/>
          </w:tcPr>
          <w:p>
            <w:pPr>
              <w:jc w:val="left"/>
            </w:pPr>
            <w:r/>
            <w:r>
              <w:rPr>
                <w:rFonts w:eastAsia="SimSun" w:ascii="Times New Roman" w:hAnsi="Times New Roman"/>
                <w:color w:val="4B5563"/>
                <w:sz w:val="18"/>
              </w:rPr>
              <w:t>—</w:t>
            </w:r>
          </w:p>
        </w:tc>
      </w:tr>
    </w:tbl>
    <w:p>
      <w:pPr>
        <w:spacing w:line="440" w:lineRule="exact" w:before="160" w:after="40"/>
      </w:pPr>
      <w:r>
        <w:rPr>
          <w:rFonts w:ascii="Times New Roman" w:hAnsi="Times New Roman" w:eastAsia="SimHei"/>
          <w:b/>
          <w:color w:val="000000"/>
          <w:sz w:val="24"/>
        </w:rPr>
        <w:t>预算说明</w:t>
      </w:r>
    </w:p>
    <w:p>
      <w:pPr>
        <w:spacing w:line="440" w:lineRule="exact" w:before="0" w:after="0"/>
        <w:ind w:firstLine="480"/>
      </w:pPr>
      <w:r>
        <w:rPr>
          <w:rFonts w:ascii="Times New Roman" w:hAnsi="Times New Roman" w:eastAsia="SimSun"/>
          <w:b w:val="0"/>
          <w:color w:val="000000"/>
          <w:sz w:val="24"/>
        </w:rPr>
        <w:t>本项目申请经费75万元，预算编制依据如下：（1）设备费20万元：用于购置高性能GPU服务器（搭载A800/H800加速卡）及车载边缘计算单元，支撑大模型训练与实车部署；（2）材料费15万元：用于购买数据存储硬盘、传感器配件、高精度地图授权及云计算资源租赁；（3）测试化验加工费15万元：用于车辆改装、传感器标定、封闭场地租赁及第三方安全检测报告费用；（4）差旅/会议/国际合作费10万元：用于参加CVPR、ICRA等国际顶级学术会议及国内学术交流，发表成果与拓展合作；（5）劳务费10万元：用于支付参与项目的研究生助研津贴及临时聘用人员费用；（6）其他支出5万元：用于论文出版版面费、专利申请费及专家咨询费。各项支出均严格按照国家自然科学基金经费管理办法执行。</w:t>
      </w:r>
    </w:p>
    <w:p>
      <w:pPr>
        <w:spacing w:line="440" w:lineRule="exact" w:before="400" w:after="160"/>
      </w:pPr>
      <w:r>
        <w:rPr>
          <w:rFonts w:ascii="Times New Roman" w:hAnsi="Times New Roman" w:eastAsia="SimHei"/>
          <w:b/>
          <w:color w:val="000000"/>
          <w:sz w:val="28"/>
        </w:rPr>
        <w:t>参考文献</w:t>
      </w:r>
    </w:p>
    <w:p>
      <w:pPr>
        <w:spacing w:line="440" w:lineRule="exact" w:before="0" w:after="0"/>
      </w:pPr>
      <w:r>
        <w:rPr>
          <w:rFonts w:ascii="Times New Roman" w:hAnsi="Times New Roman" w:eastAsia="SimSun"/>
          <w:b w:val="0"/>
          <w:color w:val="000000"/>
          <w:sz w:val="20"/>
        </w:rPr>
        <w:t>[1] Bojarski M, Del Testa D, Dworakowski D, et al. End to end learning for self-driving cars. arXiv preprint arXiv:1604.07316, 2016.</w:t>
      </w:r>
    </w:p>
    <w:p>
      <w:pPr>
        <w:spacing w:line="440" w:lineRule="exact" w:before="0" w:after="0"/>
      </w:pPr>
      <w:r>
        <w:rPr>
          <w:rFonts w:ascii="Times New Roman" w:hAnsi="Times New Roman" w:eastAsia="SimSun"/>
          <w:b w:val="0"/>
          <w:color w:val="000000"/>
          <w:sz w:val="20"/>
        </w:rPr>
        <w:t>[2] Geiger A, Lenz P, Stiller C, et al. Vision meets robotics: The KITTI dataset. The International Journal of Robotics Research, 2013, 32(11): 1231-1237.</w:t>
      </w:r>
    </w:p>
    <w:p>
      <w:pPr>
        <w:spacing w:line="440" w:lineRule="exact" w:before="0" w:after="0"/>
      </w:pPr>
      <w:r>
        <w:rPr>
          <w:rFonts w:ascii="Times New Roman" w:hAnsi="Times New Roman" w:eastAsia="SimSun"/>
          <w:b w:val="0"/>
          <w:color w:val="000000"/>
          <w:sz w:val="20"/>
        </w:rPr>
        <w:t>[3] Caesar H, Bankiti V, Lang A H, et al. nuScenes: A multimodal dataset for autonomous driving. Proceedings of the IEEE/CVF Conference on Computer Vision and Pattern Recognition, 2020: 11621-11631.</w:t>
      </w:r>
    </w:p>
    <w:p>
      <w:pPr>
        <w:spacing w:line="440" w:lineRule="exact" w:before="0" w:after="0"/>
      </w:pPr>
      <w:r>
        <w:rPr>
          <w:rFonts w:ascii="Times New Roman" w:hAnsi="Times New Roman" w:eastAsia="SimSun"/>
          <w:b w:val="0"/>
          <w:color w:val="000000"/>
          <w:sz w:val="20"/>
        </w:rPr>
        <w:t>[4] Radford A, Kim J W, Hallacy C, et al. Learning transferable visual models from natural language supervision. International Conference on Machine Learning, 2021: 8748-8763.</w:t>
      </w:r>
    </w:p>
    <w:p>
      <w:pPr>
        <w:spacing w:line="440" w:lineRule="exact" w:before="0" w:after="0"/>
      </w:pPr>
      <w:r>
        <w:rPr>
          <w:rFonts w:ascii="Times New Roman" w:hAnsi="Times New Roman" w:eastAsia="SimSun"/>
          <w:b w:val="0"/>
          <w:color w:val="000000"/>
          <w:sz w:val="20"/>
        </w:rPr>
        <w:t>[5] Liu H, Li C, Wu Q, et al. Visual instruction tuning. Advances in Neural Information Processing Systems, 2023, 36: 34892-34916.</w:t>
      </w:r>
    </w:p>
    <w:p>
      <w:pPr>
        <w:spacing w:line="440" w:lineRule="exact" w:before="0" w:after="0"/>
      </w:pPr>
      <w:r>
        <w:rPr>
          <w:rFonts w:ascii="Times New Roman" w:hAnsi="Times New Roman" w:eastAsia="SimSun"/>
          <w:b w:val="0"/>
          <w:color w:val="000000"/>
          <w:sz w:val="20"/>
        </w:rPr>
        <w:t>[6] Hu Y, Yang J, Chen L, et al. Planning-oriented autonomous driving. Proceedings of the IEEE/CVF Conference on Computer Vision and Pattern Recognition, 2023: 17853-17862.</w:t>
      </w:r>
    </w:p>
    <w:p>
      <w:pPr>
        <w:spacing w:line="440" w:lineRule="exact" w:before="0" w:after="0"/>
      </w:pPr>
      <w:r>
        <w:rPr>
          <w:rFonts w:ascii="Times New Roman" w:hAnsi="Times New Roman" w:eastAsia="SimSun"/>
          <w:b w:val="0"/>
          <w:color w:val="000000"/>
          <w:sz w:val="20"/>
        </w:rPr>
        <w:t>[7] Ji J, Mao Z, Chen Y, et al. DriveLM: Driving with graph visual question answering. arXiv preprint arXiv:2312.14150, 2023.</w:t>
      </w:r>
    </w:p>
    <w:p>
      <w:pPr>
        <w:spacing w:line="440" w:lineRule="exact" w:before="0" w:after="0"/>
      </w:pPr>
      <w:r>
        <w:rPr>
          <w:rFonts w:ascii="Times New Roman" w:hAnsi="Times New Roman" w:eastAsia="SimSun"/>
          <w:b w:val="0"/>
          <w:color w:val="000000"/>
          <w:sz w:val="20"/>
        </w:rPr>
        <w:t>[8] Chen L, Sima C, Li Y, et al. UniAD: Unified autonomous driving. arXiv preprint arXiv:2212.10156, 2022.</w:t>
      </w:r>
    </w:p>
    <w:p>
      <w:pPr>
        <w:spacing w:line="440" w:lineRule="exact" w:before="0" w:after="0"/>
      </w:pPr>
      <w:r>
        <w:rPr>
          <w:rFonts w:ascii="Times New Roman" w:hAnsi="Times New Roman" w:eastAsia="SimSun"/>
          <w:b w:val="0"/>
          <w:color w:val="000000"/>
          <w:sz w:val="20"/>
        </w:rPr>
        <w:t>[9] Shao H, Wang L, Chen R, et al. Safety-enhanced autonomous driving using interpretable transformer. Proceedings of the IEEE/CVF Conference on Computer Vision and Pattern Recognition, 2023: 17873-17883.</w:t>
      </w:r>
    </w:p>
    <w:p>
      <w:pPr>
        <w:spacing w:line="440" w:lineRule="exact" w:before="0" w:after="0"/>
      </w:pPr>
      <w:r>
        <w:rPr>
          <w:rFonts w:ascii="Times New Roman" w:hAnsi="Times New Roman" w:eastAsia="SimSun"/>
          <w:b w:val="0"/>
          <w:color w:val="000000"/>
          <w:sz w:val="20"/>
        </w:rPr>
        <w:t>[10] Amodei D, Rachum Y, Krizhevsky A, et al. Deep learning for self-driving cars. Proceedings of the IEEE Conference on Computer Vision and Pattern Recognition Workshops, 2017: 1-8.</w:t>
      </w:r>
    </w:p>
    <w:p>
      <w:pPr>
        <w:spacing w:line="440" w:lineRule="exact" w:before="0" w:after="0"/>
      </w:pPr>
      <w:r>
        <w:rPr>
          <w:rFonts w:ascii="Times New Roman" w:hAnsi="Times New Roman" w:eastAsia="SimSun"/>
          <w:b w:val="0"/>
          <w:color w:val="000000"/>
          <w:sz w:val="20"/>
        </w:rPr>
        <w:t>[11] Bansal M, Krizhevsky A, Rusakov V. ChauffeurNet: Learning to drive by imitating the best and synthesizing the worst. arXiv preprint arXiv:1812.03079, 2018.</w:t>
      </w:r>
    </w:p>
    <w:p>
      <w:pPr>
        <w:spacing w:line="440" w:lineRule="exact" w:before="0" w:after="0"/>
      </w:pPr>
      <w:r>
        <w:rPr>
          <w:rFonts w:ascii="Times New Roman" w:hAnsi="Times New Roman" w:eastAsia="SimSun"/>
          <w:b w:val="0"/>
          <w:color w:val="000000"/>
          <w:sz w:val="20"/>
        </w:rPr>
        <w:t>[12] Codevilla F, Müller M, López A M, et al. Exploring the limitations of behavior cloning for autonomous driving. Proceedings of the IEEE/CVF International Conference on Computer Vision, 2019: 9329-9338.</w:t>
      </w:r>
    </w:p>
    <w:p>
      <w:pPr>
        <w:spacing w:line="440" w:lineRule="exact" w:before="0" w:after="0"/>
      </w:pPr>
      <w:r>
        <w:rPr>
          <w:rFonts w:ascii="Times New Roman" w:hAnsi="Times New Roman" w:eastAsia="SimSun"/>
          <w:b w:val="0"/>
          <w:color w:val="000000"/>
          <w:sz w:val="20"/>
        </w:rPr>
        <w:t>[13] Prakash S, Behl A, Ohn-Bar E, et al. Multi-modal fusion transformer for end-to-end autonomous driving. Proceedings of the IEEE/CVF Conference on Computer Vision and Pattern Recognition, 2021: 7077-7087.</w:t>
      </w:r>
    </w:p>
    <w:p>
      <w:pPr>
        <w:spacing w:line="440" w:lineRule="exact" w:before="0" w:after="0"/>
      </w:pPr>
      <w:r>
        <w:rPr>
          <w:rFonts w:ascii="Times New Roman" w:hAnsi="Times New Roman" w:eastAsia="SimSun"/>
          <w:b w:val="0"/>
          <w:color w:val="000000"/>
          <w:sz w:val="20"/>
        </w:rPr>
        <w:t>[14] Ramesh A, Pavlov M, Goh G, et al. Zero-shot text-to-image generation. International Conference on Machine Learning, 2021: 8821-8831.</w:t>
      </w:r>
    </w:p>
    <w:p>
      <w:pPr>
        <w:spacing w:line="440" w:lineRule="exact" w:before="0" w:after="0"/>
      </w:pPr>
      <w:r>
        <w:rPr>
          <w:rFonts w:ascii="Times New Roman" w:hAnsi="Times New Roman" w:eastAsia="SimSun"/>
          <w:b w:val="0"/>
          <w:color w:val="000000"/>
          <w:sz w:val="20"/>
        </w:rPr>
        <w:t>[15] Alur R. Principles of cyber-physical systems. MIT press, 2015.</w:t>
      </w:r>
    </w:p>
    <w:p>
      <w:pPr>
        <w:spacing w:line="440" w:lineRule="exact" w:before="0" w:after="0"/>
      </w:pPr>
      <w:r>
        <w:rPr>
          <w:rFonts w:ascii="Times New Roman" w:hAnsi="Times New Roman" w:eastAsia="SimSun"/>
          <w:b w:val="0"/>
          <w:color w:val="000000"/>
          <w:sz w:val="20"/>
        </w:rPr>
        <w:t>[16] Kato S, Takeuchi E, Ishiguro Y, et al. An open approach to autonomous vehicles. IEEE Micro, 2015, 35(6): 60-68.</w:t>
      </w:r>
    </w:p>
    <w:p>
      <w:pPr>
        <w:spacing w:line="440" w:lineRule="exact" w:before="0" w:after="0"/>
      </w:pPr>
      <w:r>
        <w:rPr>
          <w:rFonts w:ascii="Times New Roman" w:hAnsi="Times New Roman" w:eastAsia="SimSun"/>
          <w:b w:val="0"/>
          <w:color w:val="000000"/>
          <w:sz w:val="20"/>
        </w:rPr>
        <w:t>[17] Garrett C R, Lozano-Pérez T, Kaelbling L P. FFRob: Leveraging efficient motion planning for risk-aware manipulation. International Symposium on Robotics Research, 2015.</w:t>
      </w:r>
    </w:p>
    <w:p>
      <w:pPr>
        <w:spacing w:line="440" w:lineRule="exact" w:before="0" w:after="0"/>
      </w:pPr>
      <w:r>
        <w:rPr>
          <w:rFonts w:ascii="Times New Roman" w:hAnsi="Times New Roman" w:eastAsia="SimSun"/>
          <w:b w:val="0"/>
          <w:color w:val="000000"/>
          <w:sz w:val="20"/>
        </w:rPr>
        <w:t>[18] Zhang X, Liniger A, Borrelli F. Optimization-based collision avoidance. IEEE Transactions on Control Systems Technology, 2020, 29(3): 972-983.</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