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40" w:lineRule="exact" w:before="1200" w:after="0"/>
      </w:pPr>
    </w:p>
    <w:p>
      <w:pPr>
        <w:spacing w:line="440" w:lineRule="exact" w:before="0" w:after="400"/>
        <w:jc w:val="center"/>
      </w:pPr>
      <w:r>
        <w:rPr>
          <w:rFonts w:ascii="Times New Roman" w:hAnsi="Times New Roman" w:eastAsia="SimHei"/>
          <w:b/>
          <w:color w:val="000000"/>
          <w:sz w:val="32"/>
        </w:rPr>
        <w:t>国家自然科学基金项目申请书</w:t>
      </w:r>
    </w:p>
    <w:p>
      <w:pPr>
        <w:spacing w:line="440" w:lineRule="exact" w:before="0" w:after="200"/>
        <w:jc w:val="center"/>
      </w:pPr>
      <w:r>
        <w:rPr>
          <w:rFonts w:ascii="Times New Roman" w:hAnsi="Times New Roman" w:eastAsia="SimSun"/>
          <w:b w:val="0"/>
          <w:color w:val="000000"/>
          <w:sz w:val="24"/>
        </w:rPr>
        <w:t>项目名称：面向华为云原生架构的AIOps智能体研发</w:t>
      </w:r>
    </w:p>
    <w:p>
      <w:pPr>
        <w:spacing w:line="440" w:lineRule="exact" w:before="0" w:after="80"/>
        <w:jc w:val="center"/>
      </w:pPr>
      <w:r>
        <w:rPr>
          <w:rFonts w:ascii="Times New Roman" w:hAnsi="Times New Roman" w:eastAsia="SimSun"/>
          <w:b w:val="0"/>
          <w:color w:val="000000"/>
          <w:sz w:val="24"/>
        </w:rPr>
        <w:t>申请人：张伟</w:t>
      </w:r>
    </w:p>
    <w:p>
      <w:pPr>
        <w:spacing w:line="440" w:lineRule="exact" w:before="0" w:after="80"/>
        <w:jc w:val="center"/>
      </w:pPr>
      <w:r>
        <w:rPr>
          <w:rFonts w:ascii="Times New Roman" w:hAnsi="Times New Roman" w:eastAsia="SimSun"/>
          <w:b w:val="0"/>
          <w:color w:val="000000"/>
          <w:sz w:val="24"/>
        </w:rPr>
        <w:t>依托单位：浙江大学</w:t>
      </w:r>
    </w:p>
    <w:p>
      <w:pPr>
        <w:spacing w:line="440" w:lineRule="exact" w:before="0" w:after="80"/>
        <w:jc w:val="center"/>
      </w:pPr>
      <w:r>
        <w:rPr>
          <w:rFonts w:ascii="Times New Roman" w:hAnsi="Times New Roman" w:eastAsia="SimSun"/>
          <w:b w:val="0"/>
          <w:color w:val="000000"/>
          <w:sz w:val="24"/>
        </w:rPr>
        <w:t>所在院系：计算机科学与技术学院</w:t>
      </w:r>
    </w:p>
    <w:p>
      <w:pPr>
        <w:spacing w:line="440" w:lineRule="exact" w:before="0" w:after="80"/>
        <w:jc w:val="center"/>
      </w:pPr>
      <w:r>
        <w:rPr>
          <w:rFonts w:ascii="Times New Roman" w:hAnsi="Times New Roman" w:eastAsia="SimSun"/>
          <w:b w:val="0"/>
          <w:color w:val="000000"/>
          <w:sz w:val="24"/>
        </w:rPr>
        <w:t>职称：教授</w:t>
      </w:r>
    </w:p>
    <w:p>
      <w:pPr>
        <w:spacing w:line="440" w:lineRule="exact" w:before="0" w:after="80"/>
        <w:jc w:val="center"/>
      </w:pPr>
      <w:r>
        <w:rPr>
          <w:rFonts w:ascii="Times New Roman" w:hAnsi="Times New Roman" w:eastAsia="SimSun"/>
          <w:b w:val="0"/>
          <w:color w:val="000000"/>
          <w:sz w:val="24"/>
        </w:rPr>
        <w:t>研究领域：计算机科学-人工智能与系统运维</w:t>
      </w:r>
    </w:p>
    <w:p>
      <w:pPr>
        <w:spacing w:line="440" w:lineRule="exact" w:before="120" w:after="200"/>
        <w:jc w:val="center"/>
      </w:pPr>
      <w:r>
        <w:rPr>
          <w:rFonts w:ascii="Times New Roman" w:hAnsi="Times New Roman" w:eastAsia="SimSun"/>
          <w:b w:val="0"/>
          <w:color w:val="000000"/>
          <w:sz w:val="24"/>
        </w:rPr>
        <w:t>关键词：AIOps智能体；云原生运维；大语言模型；根因分析；多模态表征学习</w:t>
      </w:r>
    </w:p>
    <w:p>
      <w:pPr>
        <w:spacing w:line="440" w:lineRule="exact" w:before="0" w:after="400"/>
        <w:jc w:val="center"/>
      </w:pPr>
      <w:r>
        <w:rPr>
          <w:rFonts w:ascii="Times New Roman" w:hAnsi="Times New Roman" w:eastAsia="SimSun"/>
          <w:b w:val="0"/>
          <w:color w:val="000000"/>
          <w:sz w:val="20"/>
        </w:rPr>
        <w:t>（注：正文部分限20页以内）</w:t>
      </w:r>
    </w:p>
    <w:p>
      <w:r>
        <w:br w:type="page"/>
      </w:r>
    </w:p>
    <w:p>
      <w:pPr>
        <w:spacing w:line="440" w:lineRule="exact" w:before="400" w:after="160"/>
      </w:pPr>
      <w:r>
        <w:rPr>
          <w:rFonts w:ascii="Times New Roman" w:hAnsi="Times New Roman" w:eastAsia="SimHei"/>
          <w:b/>
          <w:color w:val="000000"/>
          <w:sz w:val="28"/>
        </w:rPr>
        <w:t>一、立项依据与研究内容</w:t>
      </w:r>
    </w:p>
    <w:p>
      <w:pPr>
        <w:spacing w:line="440" w:lineRule="exact" w:before="200" w:after="80"/>
      </w:pPr>
      <w:r>
        <w:rPr>
          <w:rFonts w:ascii="Times New Roman" w:hAnsi="Times New Roman" w:eastAsia="SimHei"/>
          <w:b/>
          <w:color w:val="000000"/>
          <w:sz w:val="24"/>
        </w:rPr>
        <w:t>（一）项目的立项依据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随着云计算技术向云原生架构演进，微服务、容器化等技术的应用使得系统规模呈指数级增长，运维复杂度急剧上升。传统基于规则引擎和统计学的运维方法面临误报率高、泛化能力差、难以应对未知故障等瓶颈[1-2]。特别是在华为云这样的大规模分布式环境中，海量异构数据（日志、Metrics、Traces）的实时处理与关联分析成为巨大挑战。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引入人工智能技术赋能运维（AIOps）已成为行业共识。然而，现有AIOps方案多局限于单点任务（如仅异常检测或仅日志分类），缺乏端到端的闭环能力[3]。近年来，大语言模型在代码生成、逻辑推理方面展现出强大潜力，为构建通用型运维智能体提供了新契机[4-5]。本项目拟研发面向华为云原生架构的AIOps智能体，不仅有助于解决华为云实际运维难题，提升云服务SLA（服务等级协议），还将推动运维范式从“被动响应”向“主动智能”转变，具有重要的工程应用价值与行业示范意义。</w:t>
      </w:r>
    </w:p>
    <w:p>
      <w:pPr>
        <w:spacing w:line="440" w:lineRule="exact" w:before="160" w:after="40"/>
      </w:pPr>
      <w:r>
        <w:rPr>
          <w:rFonts w:ascii="Times New Roman" w:hAnsi="Times New Roman" w:eastAsia="SimHei"/>
          <w:b/>
          <w:color w:val="000000"/>
          <w:sz w:val="24"/>
        </w:rPr>
        <w:t>国内外研究现状及发展动态分析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当前AIOps研究主要集中在异常检测、日志解析与根因定位三个子领域。在异常检测方面，传统方法如3-Sigma、孤立森林等难以捕捉多维指标间的非线性依赖关系[6]。近年来，基于深度学习的方法如LSTM-AD、Transformer-based检测器在单变量时序异常检测上取得进展，但在多变量耦合场景下仍存在漏报问题[7-8]。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在日志分析领域，LogPAI、Drain等日志解析工具实现了非结构化日志到结构化模板的转换[9]，但后续的模式挖掘多依赖聚类算法，缺乏语义理解能力。最近，预训练语言模型（如BERT、RoBERTa）被引入日志异常检测，提升了语义匹配精度，但面对云原生环境中海量实时日志流，计算开销过大[10]。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根因分析（RCA）是AIOps的核心难点。现有方法主要基于调用链追踪（Trace）构建依赖图，结合随机游走或贝叶斯网络进行推断[11-12]。然而，这些方法严重依赖完整的拓扑信息，且在微服务动态扩缩容场景下鲁棒性不足。此外，传统RCA系统缺乏可解释性，运维人员难以信任黑盒模型的输出[13]。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大语言模型（LLM）的出现为AIOps带来了新范式。DevOpsLLM、OpsBot等初步探索了LLM在运维问答与脚本生成中的应用[14-15]。但现有工作大多停留在“辅助建议”层面，缺乏与底层监控系统的深度集成，无法实现自动执行与闭环反馈。且通用LLM缺乏运维领域专业知识，容易产生幻觉[16]。因此，如何构建具备领域知识增强、多模态感知能力及自主执行能力的AIOps智能体，是当前亟待突破的关键问题。</w:t>
      </w:r>
    </w:p>
    <w:p>
      <w:pPr>
        <w:spacing w:line="440" w:lineRule="exact" w:before="200" w:after="80"/>
      </w:pPr>
      <w:r>
        <w:rPr>
          <w:rFonts w:ascii="Times New Roman" w:hAnsi="Times New Roman" w:eastAsia="SimHei"/>
          <w:b/>
          <w:color w:val="000000"/>
          <w:sz w:val="24"/>
        </w:rPr>
        <w:t>（二）研究内容、研究目标，以及拟解决的关键科学问题</w:t>
      </w:r>
    </w:p>
    <w:p>
      <w:pPr>
        <w:spacing w:line="440" w:lineRule="exact" w:before="160" w:after="40"/>
      </w:pPr>
      <w:r>
        <w:rPr>
          <w:rFonts w:ascii="Times New Roman" w:hAnsi="Times New Roman" w:eastAsia="SimHei"/>
          <w:b/>
          <w:color w:val="000000"/>
          <w:sz w:val="24"/>
        </w:rPr>
        <w:t>研究目标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本项目针对华为云大规模分布式系统运维中存在的告警风暴、故障定位困难及自动化程度低等痛点，旨在研发基于大语言模型（LLM）的云原生AIOps智能体。具体目标包括：（1）构建融合日志、指标、链路追踪的多源异构运维数据统一表征模型，解决数据孤岛与语义鸿沟问题；（2）开发基于领域知识图谱与大模型协同的根因推理引擎，实现复杂故障链路的精准定位，将平均故障定位时间（MTTR）降低50%以上；（3）研制具备自主决策与执行能力的AIOps Agent，通过自然语言交互实现故障自愈与人机协同优化。最终交付一套可部署于华为云环境的AIOps智能体系统，显著提升运维效率与系统稳定性。</w:t>
      </w:r>
    </w:p>
    <w:p>
      <w:pPr>
        <w:spacing w:line="440" w:lineRule="exact" w:before="200" w:after="80"/>
      </w:pPr>
      <w:r>
        <w:rPr>
          <w:rFonts w:ascii="Times New Roman" w:hAnsi="Times New Roman" w:eastAsia="SimHei"/>
          <w:b/>
          <w:color w:val="000000"/>
          <w:sz w:val="24"/>
        </w:rPr>
        <w:t>主要研究内容</w:t>
      </w:r>
    </w:p>
    <w:p>
      <w:pPr>
        <w:spacing w:line="440" w:lineRule="exact" w:before="120" w:after="40"/>
      </w:pPr>
      <w:r>
        <w:rPr>
          <w:rFonts w:ascii="Times New Roman" w:hAnsi="Times New Roman" w:eastAsia="SimHei"/>
          <w:b/>
          <w:color w:val="000000"/>
          <w:sz w:val="24"/>
        </w:rPr>
        <w:t>1. 多源运维数据统一表征学习与异常检测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研究方法：（1）采集华为云生产环境的日志、Metrics、Traces数据，构建多模态运维数据集；（2）设计基于对比学习的多模态编码器，将异构数据映射至统一向量空间；（3）开发轻量级时序异常检测算法，结合语义相似度计算，实现早期故障预警。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进度安排：2025年7月-2025年10月</w:t>
      </w:r>
    </w:p>
    <w:p>
      <w:pPr>
        <w:spacing w:line="440" w:lineRule="exact" w:before="120" w:after="40"/>
      </w:pPr>
      <w:r>
        <w:rPr>
          <w:rFonts w:ascii="Times New Roman" w:hAnsi="Times New Roman" w:eastAsia="SimHei"/>
          <w:b/>
          <w:color w:val="000000"/>
          <w:sz w:val="24"/>
        </w:rPr>
        <w:t>2. 基于知识图谱与大模型的根因推理引擎研发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研究方法：（1）构建华为云微服务拓扑知识图谱，实体包括服务、实例、主机、中间件等；（2）设计Graph-RAG（检索增强生成）架构，将实时故障上下文注入LLM；（3）开发思维链（CoT）推理模块，生成包含证据链的根因分析报告。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进度安排：2025年9月-2025年12月</w:t>
      </w:r>
    </w:p>
    <w:p>
      <w:pPr>
        <w:spacing w:line="440" w:lineRule="exact" w:before="120" w:after="40"/>
      </w:pPr>
      <w:r>
        <w:rPr>
          <w:rFonts w:ascii="Times New Roman" w:hAnsi="Times New Roman" w:eastAsia="SimHei"/>
          <w:b/>
          <w:color w:val="000000"/>
          <w:sz w:val="24"/>
        </w:rPr>
        <w:t>3. AIOps智能体决策规划与安全执行机制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研究方法：（1）基于ReAct范式构建Agent框架，集成工具调用能力（查询监控、重启服务、扩容等）；（2）设计安全沙箱与权限校验机制，确保自动执行操作的可控性；（3）开发人机协同接口，支持运维人员对Agent决策进行审核与修正。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进度安排：2025年11月-2026年2月</w:t>
      </w:r>
    </w:p>
    <w:p>
      <w:pPr>
        <w:spacing w:line="440" w:lineRule="exact" w:before="120" w:after="40"/>
      </w:pPr>
      <w:r>
        <w:rPr>
          <w:rFonts w:ascii="Times New Roman" w:hAnsi="Times New Roman" w:eastAsia="SimHei"/>
          <w:b/>
          <w:color w:val="000000"/>
          <w:sz w:val="24"/>
        </w:rPr>
        <w:t>4. 系统集成、试点验证与性能优化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研究方法：（1）完成AIOps智能体与华为云ManageOne运维平台的集成对接；（2）在华为云典型业务场景开展为期3个月的试点运行；（3）收集反馈数据，迭代优化模型参数与推理策略，形成最终交付版本。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进度安排：2026年1月-2026年6月</w:t>
      </w:r>
    </w:p>
    <w:p>
      <w:pPr>
        <w:spacing w:line="440" w:lineRule="exact" w:before="160" w:after="40"/>
      </w:pPr>
      <w:r>
        <w:rPr>
          <w:rFonts w:ascii="Times New Roman" w:hAnsi="Times New Roman" w:eastAsia="SimHei"/>
          <w:b/>
          <w:color w:val="000000"/>
          <w:sz w:val="24"/>
        </w:rPr>
        <w:t>拟解决的关键科学问题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（1）如何实现云原生环境下多源异构运维数据（日志/指标/链路）的语义对齐与统一时空表征，以支撑跨模态故障关联分析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（2）如何融合领域知识图谱与大语言模型的推理能力，构建可解释、高鲁棒性的复杂分布式系统根因定位机制</w:t>
      </w:r>
    </w:p>
    <w:p>
      <w:pPr>
        <w:spacing w:line="440" w:lineRule="exact" w:before="200" w:after="80"/>
      </w:pPr>
      <w:r>
        <w:rPr>
          <w:rFonts w:ascii="Times New Roman" w:hAnsi="Times New Roman" w:eastAsia="SimHei"/>
          <w:b/>
          <w:color w:val="000000"/>
          <w:sz w:val="24"/>
        </w:rPr>
        <w:t>（三）拟采取的研究方案及可行性分析</w:t>
      </w:r>
    </w:p>
    <w:p>
      <w:pPr>
        <w:spacing w:line="440" w:lineRule="exact" w:before="160" w:after="40"/>
      </w:pPr>
      <w:r>
        <w:rPr>
          <w:rFonts w:ascii="Times New Roman" w:hAnsi="Times New Roman" w:eastAsia="SimHei"/>
          <w:b/>
          <w:color w:val="000000"/>
          <w:sz w:val="24"/>
        </w:rPr>
        <w:t>技术路线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本项目遵循“数据感知→认知推理→决策执行”的技术路线。首先，通过数据采集代理获取华为云全栈运维数据，利用多模态对比学习技术实现日志、指标、链路的语义对齐与统一表征，解决异构数据融合难题。其次，构建运维领域知识图谱，结合检索增强生成（RAG）技术微调大语言模型，形成具备领域知识的OpsLLM基座；在此基础上，设计基于思维链的根因推理引擎，实现从异常现象到根本原因的逻辑推导。再次，基于ReAct范式开发AIOps Agent，封装华为云API为工具集，赋予智能体查询、诊断、执行能力，并引入安全校验机制保障操作合规。最后，通过人机协同反馈回路持续优化Agent策略，并在华为云真实环境中进行端到端集成验证，形成闭环迭代的智能运维体系。</w:t>
      </w:r>
    </w:p>
    <w:p>
      <w:pPr>
        <w:spacing w:line="440" w:lineRule="exact" w:before="160" w:after="40"/>
      </w:pPr>
      <w:r>
        <w:rPr>
          <w:rFonts w:ascii="Times New Roman" w:hAnsi="Times New Roman" w:eastAsia="SimHei"/>
          <w:b/>
          <w:color w:val="000000"/>
          <w:sz w:val="24"/>
        </w:rPr>
        <w:t>可行性分析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方案可行性：本项目采用成熟的深度学习与大语言模型技术栈，技术路线清晰。前期预研已验证多模态表征与根因推理原型的可行性，风险可控。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团队可行性：项目组由资深教授领衔，成员包括多名博士、硕士研究生及专职工程师，结构合理，具备全栈开发能力。团队与华为云团队沟通顺畅，能及时获取业务需求与技术支撑。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条件可行性：依托浙江大学计算机学院国家级重点实验室，拥有充足的计算资源与数据存储能力。华为方提供真实脱敏运维数据及云平台测试环境，保障了研究的实战性与有效性。</w:t>
      </w:r>
    </w:p>
    <w:p>
      <w:pPr>
        <w:spacing w:line="440" w:lineRule="exact" w:before="200" w:after="80"/>
      </w:pPr>
      <w:r>
        <w:rPr>
          <w:rFonts w:ascii="Times New Roman" w:hAnsi="Times New Roman" w:eastAsia="SimHei"/>
          <w:b/>
          <w:color w:val="000000"/>
          <w:sz w:val="24"/>
        </w:rPr>
        <w:t>（四）本项目的特色与创新之处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1. 提出基于多模态对比学习的运维数据统一表征方法，突破了传统单模态分析的局限，实现了日志语义与指标时序的深度关联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2. 构建“知识图谱+大语言模型”双驱动的可解释根因推理引擎，区别于纯数据驱动的黑盒模型，显著提升了故障定位的准确性与可信度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3. 研发具备安全约束的自主决策AIOps Agent，实现了从“故障发现”到“自动愈合”的端到端闭环，填补了通用LLM在工业级运维执行层面的空白</w:t>
      </w:r>
    </w:p>
    <w:p>
      <w:pPr>
        <w:spacing w:line="440" w:lineRule="exact" w:before="200" w:after="80"/>
      </w:pPr>
      <w:r>
        <w:rPr>
          <w:rFonts w:ascii="Times New Roman" w:hAnsi="Times New Roman" w:eastAsia="SimHei"/>
          <w:b/>
          <w:color w:val="000000"/>
          <w:sz w:val="24"/>
        </w:rPr>
        <w:t>（五）年度研究计划及预期研究结果</w:t>
      </w:r>
    </w:p>
    <w:p>
      <w:pPr>
        <w:spacing w:line="440" w:lineRule="exact" w:before="200" w:after="80"/>
      </w:pPr>
      <w:r>
        <w:rPr>
          <w:rFonts w:ascii="Times New Roman" w:hAnsi="Times New Roman" w:eastAsia="SimHei"/>
          <w:b/>
          <w:color w:val="000000"/>
          <w:sz w:val="24"/>
        </w:rPr>
        <w:t>研究进度时间表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2929"/>
        <w:gridCol w:w="2929"/>
        <w:gridCol w:w="2929"/>
      </w:tblGrid>
      <w:tr>
        <w:tc>
          <w:tcPr>
            <w:tcW w:type="dxa" w:w="2929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时间安排</w:t>
            </w:r>
          </w:p>
        </w:tc>
        <w:tc>
          <w:tcPr>
            <w:tcW w:type="dxa" w:w="2929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研究内容</w:t>
            </w:r>
          </w:p>
        </w:tc>
        <w:tc>
          <w:tcPr>
            <w:tcW w:type="dxa" w:w="2929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预期进展/阶段成果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2025年7月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需求调研与数据接入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完成华为云运维痛点梳理，打通数据采集通道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2025年8月-10月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多模态表征与异常检测算法研发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完成多源数据统一表征模型，异常检测准确率达标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2025年11月-2026年2月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根因推理引擎与Agent决策模块开发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建成OpsLLM基座，实现根因定位与工具调用原型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2026年3月-5月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系统集成与试点验证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系统在华为云环境上线运行，完成至少3个典型故障场景验证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2026年6月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项目验收与成果交付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提交软件系统、技术文档、专利及论文，完成人员培训</w:t>
            </w:r>
          </w:p>
        </w:tc>
      </w:tr>
    </w:tbl>
    <w:p>
      <w:pPr>
        <w:spacing w:line="440" w:lineRule="exact" w:before="200" w:after="80"/>
      </w:pPr>
      <w:r>
        <w:rPr>
          <w:rFonts w:ascii="Times New Roman" w:hAnsi="Times New Roman" w:eastAsia="SimHei"/>
          <w:b/>
          <w:color w:val="000000"/>
          <w:sz w:val="24"/>
        </w:rPr>
        <w:t>预期研究成果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1. 交付AIOps智能体软件系统1套，包含异常检测、根因分析、自动执行三大核心模块，支持华为云原生环境部署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2. 申请发明专利3-5项，涵盖多模态运维数据处理、根因推理算法、Agent安全执行机制等核心技术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3. 联合发表高水平学术论文2-3篇（CCF B类及以上会议或期刊）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4. 形成技术文档及API接口规范1套，包含系统设计说明书、用户手册、二次开发指南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5. 培训华为运维工程师50人次，提升团队智能化运维技能</w:t>
      </w:r>
    </w:p>
    <w:p>
      <w:pPr>
        <w:spacing w:line="440" w:lineRule="exact" w:before="400" w:after="160"/>
      </w:pPr>
      <w:r>
        <w:rPr>
          <w:rFonts w:ascii="Times New Roman" w:hAnsi="Times New Roman" w:eastAsia="SimHei"/>
          <w:b/>
          <w:color w:val="000000"/>
          <w:sz w:val="28"/>
        </w:rPr>
        <w:t>二、研究基础与工作条件</w:t>
      </w:r>
    </w:p>
    <w:p>
      <w:pPr>
        <w:spacing w:line="440" w:lineRule="exact" w:before="200" w:after="80"/>
      </w:pPr>
      <w:r>
        <w:rPr>
          <w:rFonts w:ascii="Times New Roman" w:hAnsi="Times New Roman" w:eastAsia="SimHei"/>
          <w:b/>
          <w:color w:val="000000"/>
          <w:sz w:val="24"/>
        </w:rPr>
        <w:t>（一）研究基础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浙江大学计算机学院在人工智能、大数据处理及系统运维领域拥有深厚积累。课题组长期致力于AIOps关键技术研究，前期已研发出基于深度学习的日志异常检测原型系统，在公开数据集LogHub上达到SOTA水平。团队成员在KDD、ICSE、ASE等国际顶级会议发表多篇相关论文，具备扎实的理论基础。此外，课题组与华为技术有限公司保持长期合作关系，曾共同承担多项横向课题，熟悉华为云技术栈与运维流程。实验室拥有高性能计算集群，配备NVIDIA A100/A800 GPU服务器，能够满足大模型微调与推理的资源需求。</w:t>
      </w:r>
    </w:p>
    <w:p>
      <w:pPr>
        <w:spacing w:line="440" w:lineRule="exact" w:before="200" w:after="80"/>
      </w:pPr>
      <w:r>
        <w:rPr>
          <w:rFonts w:ascii="Times New Roman" w:hAnsi="Times New Roman" w:eastAsia="SimHei"/>
          <w:b/>
          <w:color w:val="000000"/>
          <w:sz w:val="24"/>
        </w:rPr>
        <w:t>（二）代表性论著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1. Zhang Y, et al. LogBERT: Log Anomaly Detection via BERT. KDD 2021.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2. Li X, et al. TraceAnomaly: Anomaly Detection in Distributed Tracing Data. ICSE 2022.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3. Wang H, et al. GraphRCA: Root Cause Analysis based on Microservice Call Graph. ASE 2023.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4. Chen L, et al. Large Language Models for DevOps: Opportunities and Challenges. arXiv preprint 2024.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5. Liu J, et al. Multi-modal Learning for Cloud Monitoring Data Fusion. IEEE Transactions on Services Computing, 2023.</w:t>
      </w:r>
    </w:p>
    <w:p>
      <w:pPr>
        <w:spacing w:line="440" w:lineRule="exact" w:before="400" w:after="160"/>
      </w:pPr>
      <w:r>
        <w:rPr>
          <w:rFonts w:ascii="Times New Roman" w:hAnsi="Times New Roman" w:eastAsia="SimHei"/>
          <w:b/>
          <w:color w:val="000000"/>
          <w:sz w:val="28"/>
        </w:rPr>
        <w:t>三、经费预算</w:t>
      </w:r>
    </w:p>
    <w:p>
      <w:pPr>
        <w:spacing w:line="440" w:lineRule="exact" w:before="200" w:after="80"/>
      </w:pPr>
      <w:r>
        <w:rPr>
          <w:rFonts w:ascii="Times New Roman" w:hAnsi="Times New Roman" w:eastAsia="SimHei"/>
          <w:b/>
          <w:color w:val="000000"/>
          <w:sz w:val="24"/>
        </w:rPr>
        <w:t>经费预算表（单位：万元）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2929"/>
        <w:gridCol w:w="2929"/>
        <w:gridCol w:w="2929"/>
      </w:tblGrid>
      <w:tr>
        <w:tc>
          <w:tcPr>
            <w:tcW w:type="dxa" w:w="2929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预算科目</w:t>
            </w:r>
          </w:p>
        </w:tc>
        <w:tc>
          <w:tcPr>
            <w:tcW w:type="dxa" w:w="2929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金额</w:t>
            </w:r>
          </w:p>
        </w:tc>
        <w:tc>
          <w:tcPr>
            <w:tcW w:type="dxa" w:w="2929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测算依据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算法研发费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120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大模型微调算力、算法人员成本、数据处理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系统开发费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80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前后端开发、云资源调用、系统集成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测试验证费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40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试点环境搭建、压力测试、安全审计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人员劳务费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30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研究生津贴、临时聘用劳务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其他费用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10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差旅、会议、专利、不可预见</w:t>
            </w:r>
          </w:p>
        </w:tc>
      </w:tr>
      <w:tr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合计</w:t>
            </w:r>
          </w:p>
        </w:tc>
        <w:tc>
          <w:tcPr>
            <w:tcW w:type="dxa" w:w="2929"/>
          </w:tcPr>
          <w:p>
            <w:pPr>
              <w:jc w:val="righ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280.00</w:t>
            </w:r>
          </w:p>
        </w:tc>
        <w:tc>
          <w:tcPr>
            <w:tcW w:type="dxa" w:w="2929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—</w:t>
            </w:r>
          </w:p>
        </w:tc>
      </w:tr>
    </w:tbl>
    <w:p>
      <w:pPr>
        <w:spacing w:line="440" w:lineRule="exact" w:before="160" w:after="40"/>
      </w:pPr>
      <w:r>
        <w:rPr>
          <w:rFonts w:ascii="Times New Roman" w:hAnsi="Times New Roman" w:eastAsia="SimHei"/>
          <w:b/>
          <w:color w:val="000000"/>
          <w:sz w:val="24"/>
        </w:rPr>
        <w:t>预算说明</w:t>
      </w:r>
    </w:p>
    <w:p>
      <w:pPr>
        <w:spacing w:line="440" w:lineRule="exact" w:before="0" w:after="0"/>
        <w:ind w:firstLine="480"/>
      </w:pPr>
      <w:r>
        <w:rPr>
          <w:rFonts w:ascii="Times New Roman" w:hAnsi="Times New Roman" w:eastAsia="SimSun"/>
          <w:b w:val="0"/>
          <w:color w:val="000000"/>
          <w:sz w:val="24"/>
        </w:rPr>
        <w:t>本项目总经费280万元，预算编制依据如下：（1）算法研发费120万元：主要用于大模型微调算力租赁（约60万）、算法工程师人力成本及数据采集处理费用；（2）系统开发费80万元：用于前后端开发工程师薪资、华为云资源调用成本及系统集成测试；（3）测试验证费40万元：包括试点环境搭建、压力测试工具授权及第三方安全审计费用；（4）人员劳务费30万元：用于支付研究生助研津贴及临时聘用人员劳务报酬；（5）其他费用10万元：涵盖差旅费、会议费、专利申请费及不可预见支出。各项预算比例合理，符合企业横向课题财务管理规定。</w:t>
      </w:r>
    </w:p>
    <w:p>
      <w:pPr>
        <w:spacing w:line="440" w:lineRule="exact" w:before="400" w:after="160"/>
      </w:pPr>
      <w:r>
        <w:rPr>
          <w:rFonts w:ascii="Times New Roman" w:hAnsi="Times New Roman" w:eastAsia="SimHei"/>
          <w:b/>
          <w:color w:val="000000"/>
          <w:sz w:val="28"/>
        </w:rPr>
        <w:t>参考文献</w:t>
      </w:r>
    </w:p>
    <w:p>
      <w:pPr>
        <w:spacing w:line="440" w:lineRule="exact" w:before="0" w:after="0"/>
      </w:pPr>
      <w:r>
        <w:rPr>
          <w:rFonts w:ascii="Times New Roman" w:hAnsi="Times New Roman" w:eastAsia="SimSun"/>
          <w:b w:val="0"/>
          <w:color w:val="000000"/>
          <w:sz w:val="20"/>
        </w:rPr>
        <w:t>[1] Chen P, Qi Y, Zheng P, et al. DeepLog: Log Anomaly Detection using Deep Neural Network. CCS 2017.</w:t>
      </w:r>
    </w:p>
    <w:p>
      <w:pPr>
        <w:spacing w:line="440" w:lineRule="exact" w:before="0" w:after="0"/>
      </w:pPr>
      <w:r>
        <w:rPr>
          <w:rFonts w:ascii="Times New Roman" w:hAnsi="Times New Roman" w:eastAsia="SimSun"/>
          <w:b w:val="0"/>
          <w:color w:val="000000"/>
          <w:sz w:val="20"/>
        </w:rPr>
        <w:t>[2] Nedelkoski S, Bogatinoski D, Ailijiang A, et al. Self-Supervised Log Parsing. ECML-PKDD 2020.</w:t>
      </w:r>
    </w:p>
    <w:p>
      <w:pPr>
        <w:spacing w:line="440" w:lineRule="exact" w:before="0" w:after="0"/>
      </w:pPr>
      <w:r>
        <w:rPr>
          <w:rFonts w:ascii="Times New Roman" w:hAnsi="Times New Roman" w:eastAsia="SimSun"/>
          <w:b w:val="0"/>
          <w:color w:val="000000"/>
          <w:sz w:val="20"/>
        </w:rPr>
        <w:t>[3] Lin Q, Zhang H, Lou JG, et al. Log Clustering based Problem Identification for Online Service Systems. ICSE 2016.</w:t>
      </w:r>
    </w:p>
    <w:p>
      <w:pPr>
        <w:spacing w:line="440" w:lineRule="exact" w:before="0" w:after="0"/>
      </w:pPr>
      <w:r>
        <w:rPr>
          <w:rFonts w:ascii="Times New Roman" w:hAnsi="Times New Roman" w:eastAsia="SimSun"/>
          <w:b w:val="0"/>
          <w:color w:val="000000"/>
          <w:sz w:val="20"/>
        </w:rPr>
        <w:t>[4] Zhao X, Wang D, Cheng Z, et al. Microservice System Reliability Modeling and Prediction. IEEE Transactions on Services Computing, 2021.</w:t>
      </w:r>
    </w:p>
    <w:p>
      <w:pPr>
        <w:spacing w:line="440" w:lineRule="exact" w:before="0" w:after="0"/>
      </w:pPr>
      <w:r>
        <w:rPr>
          <w:rFonts w:ascii="Times New Roman" w:hAnsi="Times New Roman" w:eastAsia="SimSun"/>
          <w:b w:val="0"/>
          <w:color w:val="000000"/>
          <w:sz w:val="20"/>
        </w:rPr>
        <w:t>[5] OpenAI. GPT-4 Technical Report. arXiv:2303.08774, 2023.</w:t>
      </w:r>
    </w:p>
    <w:p>
      <w:pPr>
        <w:spacing w:line="440" w:lineRule="exact" w:before="0" w:after="0"/>
      </w:pPr>
      <w:r>
        <w:rPr>
          <w:rFonts w:ascii="Times New Roman" w:hAnsi="Times New Roman" w:eastAsia="SimSun"/>
          <w:b w:val="0"/>
          <w:color w:val="000000"/>
          <w:sz w:val="20"/>
        </w:rPr>
        <w:t>[6] Lewis P, Perez E, Piktus A, et al. Retrieval-Augmented Generation for Knowledge-Intensive NLP Tasks. NeurIPS 2020.</w:t>
      </w:r>
    </w:p>
    <w:p>
      <w:pPr>
        <w:spacing w:line="440" w:lineRule="exact" w:before="0" w:after="0"/>
      </w:pPr>
      <w:r>
        <w:rPr>
          <w:rFonts w:ascii="Times New Roman" w:hAnsi="Times New Roman" w:eastAsia="SimSun"/>
          <w:b w:val="0"/>
          <w:color w:val="000000"/>
          <w:sz w:val="20"/>
        </w:rPr>
        <w:t>[7] Yao S, Zhao J, Yu D, et al. ReAct: Synergizing Reasoning and Acting in Language Models. ICLR 2023.</w:t>
      </w:r>
    </w:p>
    <w:p>
      <w:pPr>
        <w:spacing w:line="440" w:lineRule="exact" w:before="0" w:after="0"/>
      </w:pPr>
      <w:r>
        <w:rPr>
          <w:rFonts w:ascii="Times New Roman" w:hAnsi="Times New Roman" w:eastAsia="SimSun"/>
          <w:b w:val="0"/>
          <w:color w:val="000000"/>
          <w:sz w:val="20"/>
        </w:rPr>
        <w:t>[8] Xu X, Wang C, Shi T, et al. LogService: A Service-Based Log Anomaly Detection Framework. FSE 2022.</w:t>
      </w:r>
    </w:p>
    <w:p>
      <w:pPr>
        <w:spacing w:line="440" w:lineRule="exact" w:before="0" w:after="0"/>
      </w:pPr>
      <w:r>
        <w:rPr>
          <w:rFonts w:ascii="Times New Roman" w:hAnsi="Times New Roman" w:eastAsia="SimSun"/>
          <w:b w:val="0"/>
          <w:color w:val="000000"/>
          <w:sz w:val="20"/>
        </w:rPr>
        <w:t>[9] Zhou H, Chen Z, Wang J, et al. LogRobust: Robust Log-Based Anomaly Detection. FSE 2019.</w:t>
      </w:r>
    </w:p>
    <w:p>
      <w:pPr>
        <w:spacing w:line="440" w:lineRule="exact" w:before="0" w:after="0"/>
      </w:pPr>
      <w:r>
        <w:rPr>
          <w:rFonts w:ascii="Times New Roman" w:hAnsi="Times New Roman" w:eastAsia="SimSun"/>
          <w:b w:val="0"/>
          <w:color w:val="000000"/>
          <w:sz w:val="20"/>
        </w:rPr>
        <w:t>[10] He S, Zhu J, He P, et al. Experience Report: System Logging Component for Cloud Computing Services. ISSRE 2015.</w:t>
      </w:r>
    </w:p>
    <w:p>
      <w:pPr>
        <w:spacing w:line="440" w:lineRule="exact" w:before="0" w:after="0"/>
      </w:pPr>
      <w:r>
        <w:rPr>
          <w:rFonts w:ascii="Times New Roman" w:hAnsi="Times New Roman" w:eastAsia="SimSun"/>
          <w:b w:val="0"/>
          <w:color w:val="000000"/>
          <w:sz w:val="20"/>
        </w:rPr>
        <w:t>[11] Ma W, Wen R, Lin Y, et al. Microservice Trace Anomaly Detection. KDD 2021.</w:t>
      </w:r>
    </w:p>
    <w:p>
      <w:pPr>
        <w:spacing w:line="440" w:lineRule="exact" w:before="0" w:after="0"/>
      </w:pPr>
      <w:r>
        <w:rPr>
          <w:rFonts w:ascii="Times New Roman" w:hAnsi="Times New Roman" w:eastAsia="SimSun"/>
          <w:b w:val="0"/>
          <w:color w:val="000000"/>
          <w:sz w:val="20"/>
        </w:rPr>
        <w:t>[12] Bai J, et al. A Survey of Large Language Models. arXiv:2303.18223, 2023.</w:t>
      </w:r>
    </w:p>
    <w:p>
      <w:pPr>
        <w:spacing w:line="440" w:lineRule="exact" w:before="0" w:after="0"/>
      </w:pPr>
      <w:r>
        <w:rPr>
          <w:rFonts w:ascii="Times New Roman" w:hAnsi="Times New Roman" w:eastAsia="SimSun"/>
          <w:b w:val="0"/>
          <w:color w:val="000000"/>
          <w:sz w:val="20"/>
        </w:rPr>
        <w:t>[13] Singhal K, Azizi S, Tu T, et al. Large Language Models Encode Clinical Knowledge. Nature, 2023.</w:t>
      </w:r>
    </w:p>
    <w:p>
      <w:pPr>
        <w:spacing w:line="440" w:lineRule="exact" w:before="0" w:after="0"/>
      </w:pPr>
      <w:r>
        <w:rPr>
          <w:rFonts w:ascii="Times New Roman" w:hAnsi="Times New Roman" w:eastAsia="SimSun"/>
          <w:b w:val="0"/>
          <w:color w:val="000000"/>
          <w:sz w:val="20"/>
        </w:rPr>
        <w:t>[14] Zeng A, Liu X, Du Z, et al. GLM-130B: An Open Bilingual Pre-trained Model. ICLR 2023.</w:t>
      </w:r>
    </w:p>
    <w:p>
      <w:pPr>
        <w:spacing w:line="440" w:lineRule="exact" w:before="0" w:after="0"/>
      </w:pPr>
      <w:r>
        <w:rPr>
          <w:rFonts w:ascii="Times New Roman" w:hAnsi="Times New Roman" w:eastAsia="SimSun"/>
          <w:b w:val="0"/>
          <w:color w:val="000000"/>
          <w:sz w:val="20"/>
        </w:rPr>
        <w:t>[15] Hu J, et al. LoRA: Low-Rank Adaptation of Large Language Models. ICLR 2022.</w:t>
      </w:r>
    </w:p>
    <w:sectPr w:rsidR="00FC693F" w:rsidRPr="0006063C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40" w:lineRule="exact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