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1200" w:after="0"/>
      </w:pPr>
    </w:p>
    <w:p>
      <w:pPr>
        <w:spacing w:line="440" w:lineRule="exact" w:before="0" w:after="400"/>
        <w:jc w:val="center"/>
      </w:pPr>
      <w:r>
        <w:rPr>
          <w:rFonts w:ascii="Times New Roman" w:hAnsi="Times New Roman" w:eastAsia="SimHei"/>
          <w:b/>
          <w:color w:val="000000"/>
          <w:sz w:val="32"/>
        </w:rPr>
        <w:t>国家自然科学基金项目申请书</w:t>
      </w:r>
    </w:p>
    <w:p>
      <w:pPr>
        <w:spacing w:line="440" w:lineRule="exact" w:before="0" w:after="200"/>
        <w:jc w:val="center"/>
      </w:pPr>
      <w:r>
        <w:rPr>
          <w:rFonts w:ascii="Times New Roman" w:hAnsi="Times New Roman" w:eastAsia="SimSun"/>
          <w:b w:val="0"/>
          <w:color w:val="000000"/>
          <w:sz w:val="24"/>
        </w:rPr>
        <w:t>项目名称：数字赋能基层治理现代化：机制、路径与包容性研究</w:t>
      </w:r>
    </w:p>
    <w:p>
      <w:pPr>
        <w:spacing w:line="440" w:lineRule="exact" w:before="0" w:after="80"/>
        <w:jc w:val="center"/>
      </w:pPr>
      <w:r>
        <w:rPr>
          <w:rFonts w:ascii="Times New Roman" w:hAnsi="Times New Roman" w:eastAsia="SimSun"/>
          <w:b w:val="0"/>
          <w:color w:val="000000"/>
          <w:sz w:val="24"/>
        </w:rPr>
        <w:t>申请人：王慧敏</w:t>
      </w:r>
    </w:p>
    <w:p>
      <w:pPr>
        <w:spacing w:line="440" w:lineRule="exact" w:before="0" w:after="80"/>
        <w:jc w:val="center"/>
      </w:pPr>
      <w:r>
        <w:rPr>
          <w:rFonts w:ascii="Times New Roman" w:hAnsi="Times New Roman" w:eastAsia="SimSun"/>
          <w:b w:val="0"/>
          <w:color w:val="000000"/>
          <w:sz w:val="24"/>
        </w:rPr>
        <w:t>依托单位：浙江大学</w:t>
      </w:r>
    </w:p>
    <w:p>
      <w:pPr>
        <w:spacing w:line="440" w:lineRule="exact" w:before="0" w:after="80"/>
        <w:jc w:val="center"/>
      </w:pPr>
      <w:r>
        <w:rPr>
          <w:rFonts w:ascii="Times New Roman" w:hAnsi="Times New Roman" w:eastAsia="SimSun"/>
          <w:b w:val="0"/>
          <w:color w:val="000000"/>
          <w:sz w:val="24"/>
        </w:rPr>
        <w:t>所在院系：公共管理学院</w:t>
      </w:r>
    </w:p>
    <w:p>
      <w:pPr>
        <w:spacing w:line="440" w:lineRule="exact" w:before="0" w:after="80"/>
        <w:jc w:val="center"/>
      </w:pPr>
      <w:r>
        <w:rPr>
          <w:rFonts w:ascii="Times New Roman" w:hAnsi="Times New Roman" w:eastAsia="SimSun"/>
          <w:b w:val="0"/>
          <w:color w:val="000000"/>
          <w:sz w:val="24"/>
        </w:rPr>
        <w:t>职称：教授</w:t>
      </w:r>
    </w:p>
    <w:p>
      <w:pPr>
        <w:spacing w:line="440" w:lineRule="exact" w:before="0" w:after="80"/>
        <w:jc w:val="center"/>
      </w:pPr>
      <w:r>
        <w:rPr>
          <w:rFonts w:ascii="Times New Roman" w:hAnsi="Times New Roman" w:eastAsia="SimSun"/>
          <w:b w:val="0"/>
          <w:color w:val="000000"/>
          <w:sz w:val="24"/>
        </w:rPr>
        <w:t>研究领域：公共管理-数字治理</w:t>
      </w:r>
    </w:p>
    <w:p>
      <w:pPr>
        <w:spacing w:line="440" w:lineRule="exact" w:before="120" w:after="200"/>
        <w:jc w:val="center"/>
      </w:pPr>
      <w:r>
        <w:rPr>
          <w:rFonts w:ascii="Times New Roman" w:hAnsi="Times New Roman" w:eastAsia="SimSun"/>
          <w:b w:val="0"/>
          <w:color w:val="000000"/>
          <w:sz w:val="24"/>
        </w:rPr>
        <w:t>关键词：数字治理；基层治理现代化；最多跑一次；技术-制度互动；数字包容</w:t>
      </w:r>
    </w:p>
    <w:p>
      <w:pPr>
        <w:spacing w:line="440" w:lineRule="exact" w:before="0" w:after="400"/>
        <w:jc w:val="center"/>
      </w:pPr>
      <w:r>
        <w:rPr>
          <w:rFonts w:ascii="Times New Roman" w:hAnsi="Times New Roman" w:eastAsia="SimSun"/>
          <w:b w:val="0"/>
          <w:color w:val="000000"/>
          <w:sz w:val="20"/>
        </w:rPr>
        <w:t>（注：正文部分限20页以内）</w:t>
      </w:r>
    </w:p>
    <w:p>
      <w:r>
        <w:br w:type="page"/>
      </w:r>
    </w:p>
    <w:p>
      <w:pPr>
        <w:spacing w:line="440" w:lineRule="exact" w:before="400" w:after="160"/>
      </w:pPr>
      <w:r>
        <w:rPr>
          <w:rFonts w:ascii="Times New Roman" w:hAnsi="Times New Roman" w:eastAsia="SimHei"/>
          <w:b/>
          <w:color w:val="000000"/>
          <w:sz w:val="28"/>
        </w:rPr>
        <w:t>一、立项依据与研究内容</w:t>
      </w:r>
    </w:p>
    <w:p>
      <w:pPr>
        <w:spacing w:line="440" w:lineRule="exact" w:before="200" w:after="80"/>
      </w:pPr>
      <w:r>
        <w:rPr>
          <w:rFonts w:ascii="Times New Roman" w:hAnsi="Times New Roman" w:eastAsia="SimHei"/>
          <w:b/>
          <w:color w:val="000000"/>
          <w:sz w:val="24"/>
        </w:rPr>
        <w:t>（一）项目的立项依据</w:t>
      </w:r>
    </w:p>
    <w:p>
      <w:pPr>
        <w:spacing w:line="440" w:lineRule="exact" w:before="0" w:after="0"/>
        <w:ind w:firstLine="480"/>
      </w:pPr>
      <w:r>
        <w:rPr>
          <w:rFonts w:ascii="Times New Roman" w:hAnsi="Times New Roman" w:eastAsia="SimSun"/>
          <w:b w:val="0"/>
          <w:color w:val="000000"/>
          <w:sz w:val="24"/>
        </w:rPr>
        <w:t>随着大数据、人工智能等数字技术的迅猛发展，数字政府建设已成为推进国家治理体系和治理能力现代化的重要引擎[1]。基层治理作为国家治理的基石，其现代化水平直接关系到政权稳固与社会和谐。然而，当前基层政府在数字化转型中面临“技术悬浮”、“数据孤岛”及“算法官僚主义”等现实困境[2]，亟需从理论与实践层面厘清数字赋能的逻辑与边界。</w:t>
      </w:r>
    </w:p>
    <w:p>
      <w:pPr>
        <w:spacing w:line="440" w:lineRule="exact" w:before="0" w:after="0"/>
        <w:ind w:firstLine="480"/>
      </w:pPr>
      <w:r>
        <w:rPr>
          <w:rFonts w:ascii="Times New Roman" w:hAnsi="Times New Roman" w:eastAsia="SimSun"/>
          <w:b w:val="0"/>
          <w:color w:val="000000"/>
          <w:sz w:val="24"/>
        </w:rPr>
        <w:t>“最多跑一次”改革作为浙江率先探索并辐射长三角的重大制度创新，不仅是政务服务流程的重塑，更是基层治理范式的深刻变革[3]。该改革通过数据共享与流程再造，打破了传统科层制的条块分割，体现了以人民为中心的发展思想。选取长三角地区为研究对象，不仅因为该区域数字化基础雄厚、改革成效显著，更因其具备典型的示范价值：既包含上海的国际大都市治理模式，也涵盖江浙皖不同发展阶段的县域治理经验，具有极高的比较研究价值[4]。</w:t>
      </w:r>
    </w:p>
    <w:p>
      <w:pPr>
        <w:spacing w:line="440" w:lineRule="exact" w:before="0" w:after="0"/>
        <w:ind w:firstLine="480"/>
      </w:pPr>
      <w:r>
        <w:rPr>
          <w:rFonts w:ascii="Times New Roman" w:hAnsi="Times New Roman" w:eastAsia="SimSun"/>
          <w:b w:val="0"/>
          <w:color w:val="000000"/>
          <w:sz w:val="24"/>
        </w:rPr>
        <w:t>本研究的意义在于：理论上，突破单一的技术决定论或制度主义视角，构建整合性的分析框架，丰富数字治理本土化理论；实践上，通过诊断改革痛点与难点，为破解基层“指尖上的形式主义”、提升治理精准性与包容性提供可操作的政策方案，对于推动共同富裕背景下的基本公共服务均等化具有重要的现实意义[5]。</w:t>
      </w:r>
    </w:p>
    <w:p>
      <w:pPr>
        <w:spacing w:line="440" w:lineRule="exact" w:before="160" w:after="40"/>
      </w:pPr>
      <w:r>
        <w:rPr>
          <w:rFonts w:ascii="Times New Roman" w:hAnsi="Times New Roman" w:eastAsia="SimHei"/>
          <w:b/>
          <w:color w:val="000000"/>
          <w:sz w:val="24"/>
        </w:rPr>
        <w:t>国内外研究现状及发展动态分析</w:t>
      </w:r>
    </w:p>
    <w:p>
      <w:pPr>
        <w:spacing w:line="440" w:lineRule="exact" w:before="0" w:after="0"/>
        <w:ind w:firstLine="480"/>
      </w:pPr>
      <w:r>
        <w:rPr>
          <w:rFonts w:ascii="Times New Roman" w:hAnsi="Times New Roman" w:eastAsia="SimSun"/>
          <w:b w:val="0"/>
          <w:color w:val="000000"/>
          <w:sz w:val="24"/>
        </w:rPr>
        <w:t>国内外关于数字治理的研究已形成丰富成果，主要聚焦于技术赋能、制度变迁与服务创新三个维度。</w:t>
      </w:r>
    </w:p>
    <w:p>
      <w:pPr>
        <w:spacing w:line="440" w:lineRule="exact" w:before="0" w:after="0"/>
        <w:ind w:firstLine="480"/>
      </w:pPr>
      <w:r>
        <w:rPr>
          <w:rFonts w:ascii="Times New Roman" w:hAnsi="Times New Roman" w:eastAsia="SimSun"/>
          <w:b w:val="0"/>
          <w:color w:val="000000"/>
          <w:sz w:val="24"/>
        </w:rPr>
        <w:t>在技术赋能方面，早期研究多关注电子政务对行政效率的提升作用[6]。近年来，学者们开始关注大数据、区块链等技术对政府组织结构的重塑，提出“平台型政府”、“整体性治理”等概念[7-8]。然而，现有研究多强调技术的正向效应，对技术嵌入基层后引发的非预期后果（如责任转嫁、隐私泄露）关注不足[9]。</w:t>
      </w:r>
    </w:p>
    <w:p>
      <w:pPr>
        <w:spacing w:line="440" w:lineRule="exact" w:before="0" w:after="0"/>
        <w:ind w:firstLine="480"/>
      </w:pPr>
      <w:r>
        <w:rPr>
          <w:rFonts w:ascii="Times New Roman" w:hAnsi="Times New Roman" w:eastAsia="SimSun"/>
          <w:b w:val="0"/>
          <w:color w:val="000000"/>
          <w:sz w:val="24"/>
        </w:rPr>
        <w:t>在制度创新方面，新制度主义视角强调技术采纳过程中的合法性机制与同形压力[10]。国内学者深入分析了“最多跑一次”改革的制度逻辑，指出其本质是政府自我革命与流程再造[11-12]。但多数研究局限于单一案例描述，缺乏跨区域、多层级的比较视野，难以揭示制度扩散过程中的变异与适应机制[13]。</w:t>
      </w:r>
    </w:p>
    <w:p>
      <w:pPr>
        <w:spacing w:line="440" w:lineRule="exact" w:before="0" w:after="0"/>
        <w:ind w:firstLine="480"/>
      </w:pPr>
      <w:r>
        <w:rPr>
          <w:rFonts w:ascii="Times New Roman" w:hAnsi="Times New Roman" w:eastAsia="SimSun"/>
          <w:b w:val="0"/>
          <w:color w:val="000000"/>
          <w:sz w:val="24"/>
        </w:rPr>
        <w:t>在技术与制度互动关系上，Orlikowski的结构化理论被广泛引用，强调技术与制度的相互建构[14]。国内研究开始探讨“技术-制度”双重逻辑下的治理困境[15]，但对于“人”的因素——特别是基层执行者的数字素养与自由裁量权——如何中介这一互动过程，尚缺乏深入实证检验[16]。</w:t>
      </w:r>
    </w:p>
    <w:p>
      <w:pPr>
        <w:spacing w:line="440" w:lineRule="exact" w:before="0" w:after="0"/>
        <w:ind w:firstLine="480"/>
      </w:pPr>
      <w:r>
        <w:rPr>
          <w:rFonts w:ascii="Times New Roman" w:hAnsi="Times New Roman" w:eastAsia="SimSun"/>
          <w:b w:val="0"/>
          <w:color w:val="000000"/>
          <w:sz w:val="24"/>
        </w:rPr>
        <w:t>此外，关于数字公平的研究逐渐兴起。学者们指出，数字化转型可能加剧老年群体、弱势群体的边缘化，形成新的“数字排斥”[17-18]。尽管已有研究提出数字包容理念，但缺乏针对基层治理场景的系统性评估指标体系[19]。</w:t>
      </w:r>
    </w:p>
    <w:p>
      <w:pPr>
        <w:spacing w:line="440" w:lineRule="exact" w:before="0" w:after="0"/>
        <w:ind w:firstLine="480"/>
      </w:pPr>
      <w:r>
        <w:rPr>
          <w:rFonts w:ascii="Times New Roman" w:hAnsi="Times New Roman" w:eastAsia="SimSun"/>
          <w:b w:val="0"/>
          <w:color w:val="000000"/>
          <w:sz w:val="24"/>
        </w:rPr>
        <w:t>综上，现有研究在理论整合度、比较视野及包容性评估方面存在不足。本项目拟在此基础上，引入“人”的维度，构建“技术-制度-人”三维框架，结合长三角多案例比较，弥补现有研究空白。</w:t>
      </w:r>
    </w:p>
    <w:p>
      <w:pPr>
        <w:spacing w:line="440" w:lineRule="exact" w:before="200" w:after="80"/>
      </w:pPr>
      <w:r>
        <w:rPr>
          <w:rFonts w:ascii="Times New Roman" w:hAnsi="Times New Roman" w:eastAsia="SimHei"/>
          <w:b/>
          <w:color w:val="000000"/>
          <w:sz w:val="24"/>
        </w:rPr>
        <w:t>（二）研究内容、研究目标，以及拟解决的关键科学问题</w:t>
      </w:r>
    </w:p>
    <w:p>
      <w:pPr>
        <w:spacing w:line="440" w:lineRule="exact" w:before="160" w:after="40"/>
      </w:pPr>
      <w:r>
        <w:rPr>
          <w:rFonts w:ascii="Times New Roman" w:hAnsi="Times New Roman" w:eastAsia="SimHei"/>
          <w:b/>
          <w:color w:val="000000"/>
          <w:sz w:val="24"/>
        </w:rPr>
        <w:t>研究目标</w:t>
      </w:r>
    </w:p>
    <w:p>
      <w:pPr>
        <w:spacing w:line="440" w:lineRule="exact" w:before="0" w:after="0"/>
        <w:ind w:firstLine="480"/>
      </w:pPr>
      <w:r>
        <w:rPr>
          <w:rFonts w:ascii="Times New Roman" w:hAnsi="Times New Roman" w:eastAsia="SimSun"/>
          <w:b w:val="0"/>
          <w:color w:val="000000"/>
          <w:sz w:val="24"/>
        </w:rPr>
        <w:t>本项目旨在回应数字时代国家治理体系与治理能力现代化的重大战略需求，聚焦长三角地区“最多跑一次”改革实践，深入探究数字技术赋能基层治理的内在逻辑与实现路径。具体目标包括：（1）构建“技术-制度-人”三维分析框架，揭示数字技术重塑基层权力结构、业务流程与服务模式的微观机制；（2）通过跨区域比较，提炼长三角地区改革经验的异同及其背后的制度成因，识别制约治理效能提升的关键瓶颈；（3）评估基层干部数字素养与组织适应性对改革成效的影响，提出针对性的能力提升策略；（4）构建数字治理包容性评估指标体系，剖析“数字鸿沟”在基层治理中的表现形式，提出促进社会公平的政策建议。最终形成具有中国特色的数字基层治理理论范式，为深化“放管服”改革提供决策参考。</w:t>
      </w:r>
    </w:p>
    <w:p>
      <w:pPr>
        <w:spacing w:line="440" w:lineRule="exact" w:before="200" w:after="80"/>
      </w:pPr>
      <w:r>
        <w:rPr>
          <w:rFonts w:ascii="Times New Roman" w:hAnsi="Times New Roman" w:eastAsia="SimHei"/>
          <w:b/>
          <w:color w:val="000000"/>
          <w:sz w:val="24"/>
        </w:rPr>
        <w:t>主要研究内容</w:t>
      </w:r>
    </w:p>
    <w:p>
      <w:pPr>
        <w:spacing w:line="440" w:lineRule="exact" w:before="120" w:after="40"/>
      </w:pPr>
      <w:r>
        <w:rPr>
          <w:rFonts w:ascii="Times New Roman" w:hAnsi="Times New Roman" w:eastAsia="SimHei"/>
          <w:b/>
          <w:color w:val="000000"/>
          <w:sz w:val="24"/>
        </w:rPr>
        <w:t>1. 数字赋能基层治理的理论框架构建与机制分析</w:t>
      </w:r>
    </w:p>
    <w:p>
      <w:pPr>
        <w:spacing w:line="440" w:lineRule="exact" w:before="0" w:after="0"/>
        <w:ind w:firstLine="480"/>
      </w:pPr>
      <w:r>
        <w:rPr>
          <w:rFonts w:ascii="Times New Roman" w:hAnsi="Times New Roman" w:eastAsia="SimSun"/>
          <w:b w:val="0"/>
          <w:color w:val="000000"/>
          <w:sz w:val="24"/>
        </w:rPr>
        <w:t>研究方法：运用文献计量法梳理国内外相关研究，基于结构化理论与整体性治理理论，构建“技术-制度-人”三维分析框架。通过政策文本分析（收集长三角三地近五年相关政策文件200+份），利用NVivo软件进行编码，识别技术赋能的关键要素与制度约束条件，阐释数字技术重塑基层治理的逻辑机理。</w:t>
      </w:r>
    </w:p>
    <w:p>
      <w:pPr>
        <w:spacing w:line="440" w:lineRule="exact" w:before="0" w:after="0"/>
        <w:ind w:firstLine="480"/>
      </w:pPr>
      <w:r>
        <w:rPr>
          <w:rFonts w:ascii="Times New Roman" w:hAnsi="Times New Roman" w:eastAsia="SimSun"/>
          <w:b w:val="0"/>
          <w:color w:val="000000"/>
          <w:sz w:val="24"/>
        </w:rPr>
        <w:t>进度安排：第1-12个月</w:t>
      </w:r>
    </w:p>
    <w:p>
      <w:pPr>
        <w:spacing w:line="440" w:lineRule="exact" w:before="120" w:after="40"/>
      </w:pPr>
      <w:r>
        <w:rPr>
          <w:rFonts w:ascii="Times New Roman" w:hAnsi="Times New Roman" w:eastAsia="SimHei"/>
          <w:b/>
          <w:color w:val="000000"/>
          <w:sz w:val="24"/>
        </w:rPr>
        <w:t>2. 长三角地区“最多跑一次”改革的跨区域比较研究</w:t>
      </w:r>
    </w:p>
    <w:p>
      <w:pPr>
        <w:spacing w:line="440" w:lineRule="exact" w:before="0" w:after="0"/>
        <w:ind w:firstLine="480"/>
      </w:pPr>
      <w:r>
        <w:rPr>
          <w:rFonts w:ascii="Times New Roman" w:hAnsi="Times New Roman" w:eastAsia="SimSun"/>
          <w:b w:val="0"/>
          <w:color w:val="000000"/>
          <w:sz w:val="24"/>
        </w:rPr>
        <w:t>研究方法：采用多案例比较方法，选取上海（超大城市）、杭州（数字先锋城市）、合肥（新兴中心城市）及皖北某县（传统农业县）四个典型区域。通过半结构化访谈（街道/乡镇干部、窗口人员各10-15人）与参与式观察，对比分析各地改革的路径依赖、创新模式及实施阻力，运用定性比较分析（QCA）方法探究不同前因条件组合对改革绩效的影响。</w:t>
      </w:r>
    </w:p>
    <w:p>
      <w:pPr>
        <w:spacing w:line="440" w:lineRule="exact" w:before="0" w:after="0"/>
        <w:ind w:firstLine="480"/>
      </w:pPr>
      <w:r>
        <w:rPr>
          <w:rFonts w:ascii="Times New Roman" w:hAnsi="Times New Roman" w:eastAsia="SimSun"/>
          <w:b w:val="0"/>
          <w:color w:val="000000"/>
          <w:sz w:val="24"/>
        </w:rPr>
        <w:t>进度安排：第13-24个月</w:t>
      </w:r>
    </w:p>
    <w:p>
      <w:pPr>
        <w:spacing w:line="440" w:lineRule="exact" w:before="120" w:after="40"/>
      </w:pPr>
      <w:r>
        <w:rPr>
          <w:rFonts w:ascii="Times New Roman" w:hAnsi="Times New Roman" w:eastAsia="SimHei"/>
          <w:b/>
          <w:color w:val="000000"/>
          <w:sz w:val="24"/>
        </w:rPr>
        <w:t>3. 基层干部数字素养、组织适应性与治理效能关系研究</w:t>
      </w:r>
    </w:p>
    <w:p>
      <w:pPr>
        <w:spacing w:line="440" w:lineRule="exact" w:before="0" w:after="0"/>
        <w:ind w:firstLine="480"/>
      </w:pPr>
      <w:r>
        <w:rPr>
          <w:rFonts w:ascii="Times New Roman" w:hAnsi="Times New Roman" w:eastAsia="SimSun"/>
          <w:b w:val="0"/>
          <w:color w:val="000000"/>
          <w:sz w:val="24"/>
        </w:rPr>
        <w:t>研究方法：开发“基层干部数字素养量表”与“组织适应性量表”，在长三角地区开展分层随机抽样问卷调查（预计样本量N=800-1000）。运用结构方程模型（SEM）检验数字素养、组织文化、激励机制对治理效能的影响路径，识别阻碍技术落地的个体与组织因素。</w:t>
      </w:r>
    </w:p>
    <w:p>
      <w:pPr>
        <w:spacing w:line="440" w:lineRule="exact" w:before="0" w:after="0"/>
        <w:ind w:firstLine="480"/>
      </w:pPr>
      <w:r>
        <w:rPr>
          <w:rFonts w:ascii="Times New Roman" w:hAnsi="Times New Roman" w:eastAsia="SimSun"/>
          <w:b w:val="0"/>
          <w:color w:val="000000"/>
          <w:sz w:val="24"/>
        </w:rPr>
        <w:t>进度安排：第19-30个月</w:t>
      </w:r>
    </w:p>
    <w:p>
      <w:pPr>
        <w:spacing w:line="440" w:lineRule="exact" w:before="120" w:after="40"/>
      </w:pPr>
      <w:r>
        <w:rPr>
          <w:rFonts w:ascii="Times New Roman" w:hAnsi="Times New Roman" w:eastAsia="SimHei"/>
          <w:b/>
          <w:color w:val="000000"/>
          <w:sz w:val="24"/>
        </w:rPr>
        <w:t>4. 数字治理包容性评估与弱势群体保护机制研究</w:t>
      </w:r>
    </w:p>
    <w:p>
      <w:pPr>
        <w:spacing w:line="440" w:lineRule="exact" w:before="0" w:after="0"/>
        <w:ind w:firstLine="480"/>
      </w:pPr>
      <w:r>
        <w:rPr>
          <w:rFonts w:ascii="Times New Roman" w:hAnsi="Times New Roman" w:eastAsia="SimSun"/>
          <w:b w:val="0"/>
          <w:color w:val="000000"/>
          <w:sz w:val="24"/>
        </w:rPr>
        <w:t>研究方法：基于阿马蒂亚·森的可行能力理论，构建包含接入机会、使用能力、服务满意度等维度的数字治理包容性评估指标体系。通过社区实地调研，重点考察老年人、残障人士等群体在办事过程中的“数字困境”，运用社会网络分析（SNA）描绘服务获取障碍结构，提出适老化改造与人工兜底机制优化方案。</w:t>
      </w:r>
    </w:p>
    <w:p>
      <w:pPr>
        <w:spacing w:line="440" w:lineRule="exact" w:before="0" w:after="0"/>
        <w:ind w:firstLine="480"/>
      </w:pPr>
      <w:r>
        <w:rPr>
          <w:rFonts w:ascii="Times New Roman" w:hAnsi="Times New Roman" w:eastAsia="SimSun"/>
          <w:b w:val="0"/>
          <w:color w:val="000000"/>
          <w:sz w:val="24"/>
        </w:rPr>
        <w:t>进度安排：第25-36个月</w:t>
      </w:r>
    </w:p>
    <w:p>
      <w:pPr>
        <w:spacing w:line="440" w:lineRule="exact" w:before="120" w:after="40"/>
      </w:pPr>
      <w:r>
        <w:rPr>
          <w:rFonts w:ascii="Times New Roman" w:hAnsi="Times New Roman" w:eastAsia="SimHei"/>
          <w:b/>
          <w:color w:val="000000"/>
          <w:sz w:val="24"/>
        </w:rPr>
        <w:t>5. 研究成果集成与政策转化</w:t>
      </w:r>
    </w:p>
    <w:p>
      <w:pPr>
        <w:spacing w:line="440" w:lineRule="exact" w:before="0" w:after="0"/>
        <w:ind w:firstLine="480"/>
      </w:pPr>
      <w:r>
        <w:rPr>
          <w:rFonts w:ascii="Times New Roman" w:hAnsi="Times New Roman" w:eastAsia="SimSun"/>
          <w:b w:val="0"/>
          <w:color w:val="000000"/>
          <w:sz w:val="24"/>
        </w:rPr>
        <w:t>研究方法：整合前述研究发现，撰写专著初稿与CSSCI论文。召开专家研讨会论证政策咨询报告，向相关政府部门提交关于深化“最多跑一次”改革、提升数字包容性的政策建议，并完成结项工作。</w:t>
      </w:r>
    </w:p>
    <w:p>
      <w:pPr>
        <w:spacing w:line="440" w:lineRule="exact" w:before="0" w:after="0"/>
        <w:ind w:firstLine="480"/>
      </w:pPr>
      <w:r>
        <w:rPr>
          <w:rFonts w:ascii="Times New Roman" w:hAnsi="Times New Roman" w:eastAsia="SimSun"/>
          <w:b w:val="0"/>
          <w:color w:val="000000"/>
          <w:sz w:val="24"/>
        </w:rPr>
        <w:t>进度安排：第31-48个月</w:t>
      </w:r>
    </w:p>
    <w:p>
      <w:pPr>
        <w:spacing w:line="440" w:lineRule="exact" w:before="160" w:after="40"/>
      </w:pPr>
      <w:r>
        <w:rPr>
          <w:rFonts w:ascii="Times New Roman" w:hAnsi="Times New Roman" w:eastAsia="SimHei"/>
          <w:b/>
          <w:color w:val="000000"/>
          <w:sz w:val="24"/>
        </w:rPr>
        <w:t>拟解决的关键科学问题</w:t>
      </w:r>
    </w:p>
    <w:p>
      <w:pPr>
        <w:spacing w:line="440" w:lineRule="exact" w:before="0" w:after="0"/>
        <w:ind w:firstLine="480"/>
      </w:pPr>
      <w:r>
        <w:rPr>
          <w:rFonts w:ascii="Times New Roman" w:hAnsi="Times New Roman" w:eastAsia="SimSun"/>
          <w:b w:val="0"/>
          <w:color w:val="000000"/>
          <w:sz w:val="24"/>
        </w:rPr>
        <w:t>（1）数字技术如何通过重塑业务流程与权力结构赋能基层治理，其“技术-制度”互动的微观机制是什么</w:t>
      </w:r>
    </w:p>
    <w:p>
      <w:pPr>
        <w:spacing w:line="440" w:lineRule="exact" w:before="0" w:after="0"/>
        <w:ind w:firstLine="480"/>
      </w:pPr>
      <w:r>
        <w:rPr>
          <w:rFonts w:ascii="Times New Roman" w:hAnsi="Times New Roman" w:eastAsia="SimSun"/>
          <w:b w:val="0"/>
          <w:color w:val="000000"/>
          <w:sz w:val="24"/>
        </w:rPr>
        <w:t>（2）在区域一体化背景下，长三角各地“最多跑一次”改革呈现何种差异化路径，基层干部数字素养与组织适应性如何调节改革效能</w:t>
      </w:r>
    </w:p>
    <w:p>
      <w:pPr>
        <w:spacing w:line="440" w:lineRule="exact" w:before="0" w:after="0"/>
        <w:ind w:firstLine="480"/>
      </w:pPr>
      <w:r>
        <w:rPr>
          <w:rFonts w:ascii="Times New Roman" w:hAnsi="Times New Roman" w:eastAsia="SimSun"/>
          <w:b w:val="0"/>
          <w:color w:val="000000"/>
          <w:sz w:val="24"/>
        </w:rPr>
        <w:t>（3）如何构建兼顾效率与公平的数字治理包容性评估体系，以规避技术赋能过程中的社会排斥风险</w:t>
      </w:r>
    </w:p>
    <w:p>
      <w:pPr>
        <w:spacing w:line="440" w:lineRule="exact" w:before="200" w:after="80"/>
      </w:pPr>
      <w:r>
        <w:rPr>
          <w:rFonts w:ascii="Times New Roman" w:hAnsi="Times New Roman" w:eastAsia="SimHei"/>
          <w:b/>
          <w:color w:val="000000"/>
          <w:sz w:val="24"/>
        </w:rPr>
        <w:t>（三）拟采取的研究方案及可行性分析</w:t>
      </w:r>
    </w:p>
    <w:p>
      <w:pPr>
        <w:spacing w:line="440" w:lineRule="exact" w:before="160" w:after="40"/>
      </w:pPr>
      <w:r>
        <w:rPr>
          <w:rFonts w:ascii="Times New Roman" w:hAnsi="Times New Roman" w:eastAsia="SimHei"/>
          <w:b/>
          <w:color w:val="000000"/>
          <w:sz w:val="24"/>
        </w:rPr>
        <w:t>技术路线</w:t>
      </w:r>
    </w:p>
    <w:p>
      <w:pPr>
        <w:spacing w:line="440" w:lineRule="exact" w:before="0" w:after="0"/>
        <w:ind w:firstLine="480"/>
      </w:pPr>
      <w:r>
        <w:rPr>
          <w:rFonts w:ascii="Times New Roman" w:hAnsi="Times New Roman" w:eastAsia="SimSun"/>
          <w:b w:val="0"/>
          <w:color w:val="000000"/>
          <w:sz w:val="24"/>
        </w:rPr>
        <w:t>本项目遵循“理论构建—实证检验—对策研究”的技术路线。首先，通过文献研究与政策文本分析，构建“技术-制度-人”三维分析框架，明确研究变量与假设。其次，采用混合研究方法展开实证研究：一方面，运用多案例比较与QCA方法，深入剖析长三角不同区域改革实践的差异化路径及其制度逻辑；另一方面，通过大样本问卷调查与SEM模型，量化检验基层干部数字素养与组织适应性对治理效能的影响机制。同时，结合社会网络分析与实地观察，聚焦数字治理中的公平性问题，构建包容性评估指标体系。最后，综合定性与定量结果，提炼数字赋能基层治理的通用模式与差异化策略，形成理论成果与政策建议。整个过程中，注重理论与实践的互动反馈，确保研究的科学性与应用价值。</w:t>
      </w:r>
    </w:p>
    <w:p>
      <w:pPr>
        <w:spacing w:line="440" w:lineRule="exact" w:before="160" w:after="40"/>
      </w:pPr>
      <w:r>
        <w:rPr>
          <w:rFonts w:ascii="Times New Roman" w:hAnsi="Times New Roman" w:eastAsia="SimHei"/>
          <w:b/>
          <w:color w:val="000000"/>
          <w:sz w:val="24"/>
        </w:rPr>
        <w:t>可行性分析</w:t>
      </w:r>
    </w:p>
    <w:p>
      <w:pPr>
        <w:spacing w:line="440" w:lineRule="exact" w:before="0" w:after="0"/>
        <w:ind w:firstLine="480"/>
      </w:pPr>
      <w:r>
        <w:rPr>
          <w:rFonts w:ascii="Times New Roman" w:hAnsi="Times New Roman" w:eastAsia="SimSun"/>
          <w:b w:val="0"/>
          <w:color w:val="000000"/>
          <w:sz w:val="24"/>
        </w:rPr>
        <w:t>方案可行性：本项目采用混合研究方法，定性定量互补，技术路线清晰。所选长三角地区案例典型性强，数据可获得性高。构建的“技术-制度-人”框架逻辑严密，具有较高的解释力。</w:t>
      </w:r>
    </w:p>
    <w:p>
      <w:pPr>
        <w:spacing w:line="440" w:lineRule="exact" w:before="0" w:after="0"/>
        <w:ind w:firstLine="480"/>
      </w:pPr>
      <w:r>
        <w:rPr>
          <w:rFonts w:ascii="Times New Roman" w:hAnsi="Times New Roman" w:eastAsia="SimSun"/>
          <w:b w:val="0"/>
          <w:color w:val="000000"/>
          <w:sz w:val="24"/>
        </w:rPr>
        <w:t>团队可行性：申请人具有深厚的学术积累和丰富的项目管理经验，前期成果与本课题高度相关。团队成员结构合理，涵盖公共管理、社会学、统计学等多学科背景，具备较强的协作攻关能力。</w:t>
      </w:r>
    </w:p>
    <w:p>
      <w:pPr>
        <w:spacing w:line="440" w:lineRule="exact" w:before="0" w:after="0"/>
        <w:ind w:firstLine="480"/>
      </w:pPr>
      <w:r>
        <w:rPr>
          <w:rFonts w:ascii="Times New Roman" w:hAnsi="Times New Roman" w:eastAsia="SimSun"/>
          <w:b w:val="0"/>
          <w:color w:val="000000"/>
          <w:sz w:val="24"/>
        </w:rPr>
        <w:t>条件可行性：依托单位图书馆资源丰富，拥有完善的电子数据库。课题组已与多地政府部门建立合作意向，保障了田野调查的准入。实验室配备专业的统计分析软件和高性能计算机，为数据处理提供了硬件支撑。</w:t>
      </w:r>
    </w:p>
    <w:p>
      <w:pPr>
        <w:spacing w:line="440" w:lineRule="exact" w:before="200" w:after="80"/>
      </w:pPr>
      <w:r>
        <w:rPr>
          <w:rFonts w:ascii="Times New Roman" w:hAnsi="Times New Roman" w:eastAsia="SimHei"/>
          <w:b/>
          <w:color w:val="000000"/>
          <w:sz w:val="24"/>
        </w:rPr>
        <w:t>（四）本项目的特色与创新之处</w:t>
      </w:r>
    </w:p>
    <w:p>
      <w:pPr>
        <w:spacing w:line="440" w:lineRule="exact" w:before="0" w:after="0"/>
        <w:ind w:firstLine="480"/>
      </w:pPr>
      <w:r>
        <w:rPr>
          <w:rFonts w:ascii="Times New Roman" w:hAnsi="Times New Roman" w:eastAsia="SimSun"/>
          <w:b w:val="0"/>
          <w:color w:val="000000"/>
          <w:sz w:val="24"/>
        </w:rPr>
        <w:t>1. 理论视角创新：突破单一的技术或制度视角，构建“技术-制度-人”三维整合分析框架，将基层干部的数字素养与自由裁量权纳入分析核心，揭示了技术落地过程中人的能动性作用</w:t>
      </w:r>
    </w:p>
    <w:p>
      <w:pPr>
        <w:spacing w:line="440" w:lineRule="exact" w:before="0" w:after="0"/>
        <w:ind w:firstLine="480"/>
      </w:pPr>
      <w:r>
        <w:rPr>
          <w:rFonts w:ascii="Times New Roman" w:hAnsi="Times New Roman" w:eastAsia="SimSun"/>
          <w:b w:val="0"/>
          <w:color w:val="000000"/>
          <w:sz w:val="24"/>
        </w:rPr>
        <w:t>2. 研究方法创新：采用“宏观政策文本+中观案例比较+微观问卷调查”的混合研究设计，结合QCA与SEM方法，实现了宏观制度环境与微观个体行为的跨层级关联分析</w:t>
      </w:r>
    </w:p>
    <w:p>
      <w:pPr>
        <w:spacing w:line="440" w:lineRule="exact" w:before="0" w:after="0"/>
        <w:ind w:firstLine="480"/>
      </w:pPr>
      <w:r>
        <w:rPr>
          <w:rFonts w:ascii="Times New Roman" w:hAnsi="Times New Roman" w:eastAsia="SimSun"/>
          <w:b w:val="0"/>
          <w:color w:val="000000"/>
          <w:sz w:val="24"/>
        </w:rPr>
        <w:t>3. 评价指标创新：首次针对基层治理场景构建数字治理包容性评估指标体系，将“数字公平”操作化为可测量的维度，为解决“数字鸿沟”问题提供了具体的评估工具与政策抓手</w:t>
      </w:r>
    </w:p>
    <w:p>
      <w:pPr>
        <w:spacing w:line="440" w:lineRule="exact" w:before="200" w:after="80"/>
      </w:pPr>
      <w:r>
        <w:rPr>
          <w:rFonts w:ascii="Times New Roman" w:hAnsi="Times New Roman" w:eastAsia="SimHei"/>
          <w:b/>
          <w:color w:val="000000"/>
          <w:sz w:val="24"/>
        </w:rPr>
        <w:t>（五）年度研究计划及预期研究结果</w:t>
      </w:r>
    </w:p>
    <w:p>
      <w:pPr>
        <w:spacing w:line="440" w:lineRule="exact" w:before="200" w:after="80"/>
      </w:pPr>
      <w:r>
        <w:rPr>
          <w:rFonts w:ascii="Times New Roman" w:hAnsi="Times New Roman" w:eastAsia="SimHei"/>
          <w:b/>
          <w:color w:val="000000"/>
          <w:sz w:val="24"/>
        </w:rPr>
        <w:t>研究进度时间表</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SimSun" w:ascii="Times New Roman" w:hAnsi="Times New Roman"/>
                <w:b/>
                <w:color w:val="111827"/>
                <w:sz w:val="21"/>
              </w:rPr>
              <w:t>时间安排</w:t>
            </w:r>
          </w:p>
        </w:tc>
        <w:tc>
          <w:tcPr>
            <w:tcW w:type="dxa" w:w="2929"/>
          </w:tcPr>
          <w:p>
            <w:pPr>
              <w:jc w:val="center"/>
            </w:pPr>
            <w:r/>
            <w:r>
              <w:rPr>
                <w:rFonts w:eastAsia="SimSun" w:ascii="Times New Roman" w:hAnsi="Times New Roman"/>
                <w:b/>
                <w:color w:val="111827"/>
                <w:sz w:val="21"/>
              </w:rPr>
              <w:t>研究内容</w:t>
            </w:r>
          </w:p>
        </w:tc>
        <w:tc>
          <w:tcPr>
            <w:tcW w:type="dxa" w:w="2929"/>
          </w:tcPr>
          <w:p>
            <w:pPr>
              <w:jc w:val="center"/>
            </w:pPr>
            <w:r/>
            <w:r>
              <w:rPr>
                <w:rFonts w:eastAsia="SimSun" w:ascii="Times New Roman" w:hAnsi="Times New Roman"/>
                <w:b/>
                <w:color w:val="111827"/>
                <w:sz w:val="21"/>
              </w:rPr>
              <w:t>预期进展/阶段成果</w:t>
            </w:r>
          </w:p>
        </w:tc>
      </w:tr>
      <w:tr>
        <w:tc>
          <w:tcPr>
            <w:tcW w:type="dxa" w:w="2929"/>
          </w:tcPr>
          <w:p>
            <w:pPr>
              <w:jc w:val="left"/>
            </w:pPr>
            <w:r/>
            <w:r>
              <w:rPr>
                <w:rFonts w:eastAsia="SimSun" w:ascii="Times New Roman" w:hAnsi="Times New Roman"/>
                <w:color w:val="4B5563"/>
                <w:sz w:val="18"/>
              </w:rPr>
              <w:t>第1年</w:t>
            </w:r>
          </w:p>
        </w:tc>
        <w:tc>
          <w:tcPr>
            <w:tcW w:type="dxa" w:w="2929"/>
          </w:tcPr>
          <w:p>
            <w:pPr>
              <w:jc w:val="left"/>
            </w:pPr>
            <w:r/>
            <w:r>
              <w:rPr>
                <w:rFonts w:eastAsia="SimSun" w:ascii="Times New Roman" w:hAnsi="Times New Roman"/>
                <w:color w:val="4B5563"/>
                <w:sz w:val="18"/>
              </w:rPr>
              <w:t>完成文献梳理与理论框架构建；收集并分析长三角地区政策文本；设计调查问卷与访谈提纲；组建研究团队并进行预调研。</w:t>
            </w:r>
          </w:p>
        </w:tc>
        <w:tc>
          <w:tcPr>
            <w:tcW w:type="dxa" w:w="2929"/>
          </w:tcPr>
          <w:p>
            <w:pPr>
              <w:jc w:val="left"/>
            </w:pPr>
            <w:r/>
            <w:r>
              <w:rPr>
                <w:rFonts w:eastAsia="SimSun" w:ascii="Times New Roman" w:hAnsi="Times New Roman"/>
                <w:color w:val="4B5563"/>
                <w:sz w:val="18"/>
              </w:rPr>
              <w:t>发表综述论文1篇；完成理论框架章节初稿；形成调研工具包。</w:t>
            </w:r>
          </w:p>
        </w:tc>
      </w:tr>
      <w:tr>
        <w:tc>
          <w:tcPr>
            <w:tcW w:type="dxa" w:w="2929"/>
          </w:tcPr>
          <w:p>
            <w:pPr>
              <w:jc w:val="left"/>
            </w:pPr>
            <w:r/>
            <w:r>
              <w:rPr>
                <w:rFonts w:eastAsia="SimSun" w:ascii="Times New Roman" w:hAnsi="Times New Roman"/>
                <w:color w:val="4B5563"/>
                <w:sz w:val="18"/>
              </w:rPr>
              <w:t>第2年</w:t>
            </w:r>
          </w:p>
        </w:tc>
        <w:tc>
          <w:tcPr>
            <w:tcW w:type="dxa" w:w="2929"/>
          </w:tcPr>
          <w:p>
            <w:pPr>
              <w:jc w:val="left"/>
            </w:pPr>
            <w:r/>
            <w:r>
              <w:rPr>
                <w:rFonts w:eastAsia="SimSun" w:ascii="Times New Roman" w:hAnsi="Times New Roman"/>
                <w:color w:val="4B5563"/>
                <w:sz w:val="18"/>
              </w:rPr>
              <w:t>开展长三角四地实地调研，完成深度访谈与参与式观察；发放并回收问卷；建立案例数据库；进行中期的阶段性总结与交流。</w:t>
            </w:r>
          </w:p>
        </w:tc>
        <w:tc>
          <w:tcPr>
            <w:tcW w:type="dxa" w:w="2929"/>
          </w:tcPr>
          <w:p>
            <w:pPr>
              <w:jc w:val="left"/>
            </w:pPr>
            <w:r/>
            <w:r>
              <w:rPr>
                <w:rFonts w:eastAsia="SimSun" w:ascii="Times New Roman" w:hAnsi="Times New Roman"/>
                <w:color w:val="4B5563"/>
                <w:sz w:val="18"/>
              </w:rPr>
              <w:t>完成案例比较分析报告；发表实证论文1-2篇；召开中期进展汇报会。</w:t>
            </w:r>
          </w:p>
        </w:tc>
      </w:tr>
      <w:tr>
        <w:tc>
          <w:tcPr>
            <w:tcW w:type="dxa" w:w="2929"/>
          </w:tcPr>
          <w:p>
            <w:pPr>
              <w:jc w:val="left"/>
            </w:pPr>
            <w:r/>
            <w:r>
              <w:rPr>
                <w:rFonts w:eastAsia="SimSun" w:ascii="Times New Roman" w:hAnsi="Times New Roman"/>
                <w:color w:val="4B5563"/>
                <w:sz w:val="18"/>
              </w:rPr>
              <w:t>第3年</w:t>
            </w:r>
          </w:p>
        </w:tc>
        <w:tc>
          <w:tcPr>
            <w:tcW w:type="dxa" w:w="2929"/>
          </w:tcPr>
          <w:p>
            <w:pPr>
              <w:jc w:val="left"/>
            </w:pPr>
            <w:r/>
            <w:r>
              <w:rPr>
                <w:rFonts w:eastAsia="SimSun" w:ascii="Times New Roman" w:hAnsi="Times New Roman"/>
                <w:color w:val="4B5563"/>
                <w:sz w:val="18"/>
              </w:rPr>
              <w:t>完成问卷数据统计分析与模型检验；构建数字治理包容性评估指标体系；开展弱势群体专项调研；撰写专著初稿与政策咨询报告。</w:t>
            </w:r>
          </w:p>
        </w:tc>
        <w:tc>
          <w:tcPr>
            <w:tcW w:type="dxa" w:w="2929"/>
          </w:tcPr>
          <w:p>
            <w:pPr>
              <w:jc w:val="left"/>
            </w:pPr>
            <w:r/>
            <w:r>
              <w:rPr>
                <w:rFonts w:eastAsia="SimSun" w:ascii="Times New Roman" w:hAnsi="Times New Roman"/>
                <w:color w:val="4B5563"/>
                <w:sz w:val="18"/>
              </w:rPr>
              <w:t>完成专著初稿；提交政策咨询报告1份；发表实证论文1-2篇。</w:t>
            </w:r>
          </w:p>
        </w:tc>
      </w:tr>
      <w:tr>
        <w:tc>
          <w:tcPr>
            <w:tcW w:type="dxa" w:w="2929"/>
          </w:tcPr>
          <w:p>
            <w:pPr>
              <w:jc w:val="left"/>
            </w:pPr>
            <w:r/>
            <w:r>
              <w:rPr>
                <w:rFonts w:eastAsia="SimSun" w:ascii="Times New Roman" w:hAnsi="Times New Roman"/>
                <w:color w:val="4B5563"/>
                <w:sz w:val="18"/>
              </w:rPr>
              <w:t>第4年</w:t>
            </w:r>
          </w:p>
        </w:tc>
        <w:tc>
          <w:tcPr>
            <w:tcW w:type="dxa" w:w="2929"/>
          </w:tcPr>
          <w:p>
            <w:pPr>
              <w:jc w:val="left"/>
            </w:pPr>
            <w:r/>
            <w:r>
              <w:rPr>
                <w:rFonts w:eastAsia="SimSun" w:ascii="Times New Roman" w:hAnsi="Times New Roman"/>
                <w:color w:val="4B5563"/>
                <w:sz w:val="18"/>
              </w:rPr>
              <w:t>完善专著与论文；组织专家论证政策建议；修改并提交最终成果；办理结项手续；推广研究成果。</w:t>
            </w:r>
          </w:p>
        </w:tc>
        <w:tc>
          <w:tcPr>
            <w:tcW w:type="dxa" w:w="2929"/>
          </w:tcPr>
          <w:p>
            <w:pPr>
              <w:jc w:val="left"/>
            </w:pPr>
            <w:r/>
            <w:r>
              <w:rPr>
                <w:rFonts w:eastAsia="SimSun" w:ascii="Times New Roman" w:hAnsi="Times New Roman"/>
                <w:color w:val="4B5563"/>
                <w:sz w:val="18"/>
              </w:rPr>
              <w:t>出版专著1部；提交政策咨询报告1份；完成结项鉴定。</w:t>
            </w:r>
          </w:p>
        </w:tc>
      </w:tr>
    </w:tbl>
    <w:p>
      <w:pPr>
        <w:spacing w:line="440" w:lineRule="exact" w:before="200" w:after="80"/>
      </w:pPr>
      <w:r>
        <w:rPr>
          <w:rFonts w:ascii="Times New Roman" w:hAnsi="Times New Roman" w:eastAsia="SimHei"/>
          <w:b/>
          <w:color w:val="000000"/>
          <w:sz w:val="24"/>
        </w:rPr>
        <w:t>预期研究成果</w:t>
      </w:r>
    </w:p>
    <w:p>
      <w:pPr>
        <w:spacing w:line="440" w:lineRule="exact" w:before="0" w:after="0"/>
        <w:ind w:firstLine="480"/>
      </w:pPr>
      <w:r>
        <w:rPr>
          <w:rFonts w:ascii="Times New Roman" w:hAnsi="Times New Roman" w:eastAsia="SimSun"/>
          <w:b w:val="0"/>
          <w:color w:val="000000"/>
          <w:sz w:val="24"/>
        </w:rPr>
        <w:t>1. 在《政治学研究》、《公共管理学报》等CSSCI来源期刊发表学术论文3-4篇，其中至少2篇为权威期刊</w:t>
      </w:r>
    </w:p>
    <w:p>
      <w:pPr>
        <w:spacing w:line="440" w:lineRule="exact" w:before="0" w:after="0"/>
        <w:ind w:firstLine="480"/>
      </w:pPr>
      <w:r>
        <w:rPr>
          <w:rFonts w:ascii="Times New Roman" w:hAnsi="Times New Roman" w:eastAsia="SimSun"/>
          <w:b w:val="0"/>
          <w:color w:val="000000"/>
          <w:sz w:val="24"/>
        </w:rPr>
        <w:t>2. 出版学术专著1部：《数字赋能与基层治理现代化：来自长三角的经验证据》</w:t>
      </w:r>
    </w:p>
    <w:p>
      <w:pPr>
        <w:spacing w:line="440" w:lineRule="exact" w:before="0" w:after="0"/>
        <w:ind w:firstLine="480"/>
      </w:pPr>
      <w:r>
        <w:rPr>
          <w:rFonts w:ascii="Times New Roman" w:hAnsi="Times New Roman" w:eastAsia="SimSun"/>
          <w:b w:val="0"/>
          <w:color w:val="000000"/>
          <w:sz w:val="24"/>
        </w:rPr>
        <w:t>3. 提交政策咨询报告2份，争取获得省部级以上领导批示或被相关部门采纳</w:t>
      </w:r>
    </w:p>
    <w:p>
      <w:pPr>
        <w:spacing w:line="440" w:lineRule="exact" w:before="0" w:after="0"/>
        <w:ind w:firstLine="480"/>
      </w:pPr>
      <w:r>
        <w:rPr>
          <w:rFonts w:ascii="Times New Roman" w:hAnsi="Times New Roman" w:eastAsia="SimSun"/>
          <w:b w:val="0"/>
          <w:color w:val="000000"/>
          <w:sz w:val="24"/>
        </w:rPr>
        <w:t>4. 构建“长三角基层治理数字化转型案例数据库”1个，包含访谈录音、转录文本、政策文件等原始数据</w:t>
      </w:r>
    </w:p>
    <w:p>
      <w:pPr>
        <w:spacing w:line="440" w:lineRule="exact" w:before="0" w:after="0"/>
        <w:ind w:firstLine="480"/>
      </w:pPr>
      <w:r>
        <w:rPr>
          <w:rFonts w:ascii="Times New Roman" w:hAnsi="Times New Roman" w:eastAsia="SimSun"/>
          <w:b w:val="0"/>
          <w:color w:val="000000"/>
          <w:sz w:val="24"/>
        </w:rPr>
        <w:t>5. 培养博士研究生1-2名，硕士研究生2-3名</w:t>
      </w:r>
    </w:p>
    <w:p>
      <w:pPr>
        <w:spacing w:line="440" w:lineRule="exact" w:before="400" w:after="160"/>
      </w:pPr>
      <w:r>
        <w:rPr>
          <w:rFonts w:ascii="Times New Roman" w:hAnsi="Times New Roman" w:eastAsia="SimHei"/>
          <w:b/>
          <w:color w:val="000000"/>
          <w:sz w:val="28"/>
        </w:rPr>
        <w:t>二、研究基础与工作条件</w:t>
      </w:r>
    </w:p>
    <w:p>
      <w:pPr>
        <w:spacing w:line="440" w:lineRule="exact" w:before="200" w:after="80"/>
      </w:pPr>
      <w:r>
        <w:rPr>
          <w:rFonts w:ascii="Times New Roman" w:hAnsi="Times New Roman" w:eastAsia="SimHei"/>
          <w:b/>
          <w:color w:val="000000"/>
          <w:sz w:val="24"/>
        </w:rPr>
        <w:t>（一）研究基础</w:t>
      </w:r>
    </w:p>
    <w:p>
      <w:pPr>
        <w:spacing w:line="440" w:lineRule="exact" w:before="0" w:after="0"/>
        <w:ind w:firstLine="480"/>
      </w:pPr>
      <w:r>
        <w:rPr>
          <w:rFonts w:ascii="Times New Roman" w:hAnsi="Times New Roman" w:eastAsia="SimSun"/>
          <w:b w:val="0"/>
          <w:color w:val="000000"/>
          <w:sz w:val="24"/>
        </w:rPr>
        <w:t>申请人长期致力于数字治理与地方政府创新研究，主持完成省部级相关课题2项，积累了丰富的田野调查经验。前期已在《中国行政管理》、《公共行政评论》等期刊发表相关论文5篇，初步探讨了政务APP使用中的形式主义问题，为本项目奠定了坚实的理论基础。课题组与长三角多地行政审批局、街道办建立了良好的合作关系，能够保障实地调研的顺利开展。依托单位拥有SPSS、NVivo、Ucinet等数据分析软件及高性能计算平台，能够满足大规模数据处理需求。</w:t>
      </w:r>
    </w:p>
    <w:p>
      <w:pPr>
        <w:spacing w:line="440" w:lineRule="exact" w:before="200" w:after="80"/>
      </w:pPr>
      <w:r>
        <w:rPr>
          <w:rFonts w:ascii="Times New Roman" w:hAnsi="Times New Roman" w:eastAsia="SimHei"/>
          <w:b/>
          <w:color w:val="000000"/>
          <w:sz w:val="24"/>
        </w:rPr>
        <w:t>（二）代表性论著</w:t>
      </w:r>
    </w:p>
    <w:p>
      <w:pPr>
        <w:spacing w:line="440" w:lineRule="exact" w:before="0" w:after="0"/>
        <w:ind w:firstLine="480"/>
      </w:pPr>
      <w:r>
        <w:rPr>
          <w:rFonts w:ascii="Times New Roman" w:hAnsi="Times New Roman" w:eastAsia="SimSun"/>
          <w:b w:val="0"/>
          <w:color w:val="000000"/>
          <w:sz w:val="24"/>
        </w:rPr>
        <w:t>1. 王慧敏. 技术赋能还是技术负担？基层公务员数字倦怠的形成机制研究. 中国行政管理, 2023(5): 45-52.</w:t>
      </w:r>
    </w:p>
    <w:p>
      <w:pPr>
        <w:spacing w:line="440" w:lineRule="exact" w:before="0" w:after="0"/>
        <w:ind w:firstLine="480"/>
      </w:pPr>
      <w:r>
        <w:rPr>
          <w:rFonts w:ascii="Times New Roman" w:hAnsi="Times New Roman" w:eastAsia="SimSun"/>
          <w:b w:val="0"/>
          <w:color w:val="000000"/>
          <w:sz w:val="24"/>
        </w:rPr>
        <w:t>2. 王慧敏. “最多跑一次”改革中的部门协同困境与出路. 公共行政评论, 2022, 15(3): 88-105.</w:t>
      </w:r>
    </w:p>
    <w:p>
      <w:pPr>
        <w:spacing w:line="440" w:lineRule="exact" w:before="0" w:after="0"/>
        <w:ind w:firstLine="480"/>
      </w:pPr>
      <w:r>
        <w:rPr>
          <w:rFonts w:ascii="Times New Roman" w:hAnsi="Times New Roman" w:eastAsia="SimSun"/>
          <w:b w:val="0"/>
          <w:color w:val="000000"/>
          <w:sz w:val="24"/>
        </w:rPr>
        <w:t>3. 王慧敏, 李建国、陈芳. 数字时代的政府流程再造：基于Z市的案例研究. 电子政务, 2021(8): 22-30.</w:t>
      </w:r>
    </w:p>
    <w:p>
      <w:pPr>
        <w:spacing w:line="440" w:lineRule="exact" w:before="0" w:after="0"/>
        <w:ind w:firstLine="480"/>
      </w:pPr>
      <w:r>
        <w:rPr>
          <w:rFonts w:ascii="Times New Roman" w:hAnsi="Times New Roman" w:eastAsia="SimSun"/>
          <w:b w:val="0"/>
          <w:color w:val="000000"/>
          <w:sz w:val="24"/>
        </w:rPr>
        <w:t>4. 王慧敏. 从“碎片”到“整体”：数字政府建设的逻辑进路. 理论探索, 2020(4): 67-73.</w:t>
      </w:r>
    </w:p>
    <w:p>
      <w:pPr>
        <w:spacing w:line="440" w:lineRule="exact" w:before="0" w:after="0"/>
        <w:ind w:firstLine="480"/>
      </w:pPr>
      <w:r>
        <w:rPr>
          <w:rFonts w:ascii="Times New Roman" w:hAnsi="Times New Roman" w:eastAsia="SimSun"/>
          <w:b w:val="0"/>
          <w:color w:val="000000"/>
          <w:sz w:val="24"/>
        </w:rPr>
        <w:t>5. 王慧敏. 基层社会治理创新的可持续性研究. 社会科学战线, 2019(12): 112-119.</w:t>
      </w:r>
    </w:p>
    <w:p>
      <w:pPr>
        <w:spacing w:line="440" w:lineRule="exact" w:before="400" w:after="160"/>
      </w:pPr>
      <w:r>
        <w:rPr>
          <w:rFonts w:ascii="Times New Roman" w:hAnsi="Times New Roman" w:eastAsia="SimHei"/>
          <w:b/>
          <w:color w:val="000000"/>
          <w:sz w:val="28"/>
        </w:rPr>
        <w:t>三、经费预算</w:t>
      </w:r>
    </w:p>
    <w:p>
      <w:pPr>
        <w:spacing w:line="440" w:lineRule="exact" w:before="200" w:after="80"/>
      </w:pPr>
      <w:r>
        <w:rPr>
          <w:rFonts w:ascii="Times New Roman" w:hAnsi="Times New Roman" w:eastAsia="SimHei"/>
          <w:b/>
          <w:color w:val="000000"/>
          <w:sz w:val="24"/>
        </w:rPr>
        <w:t>经费预算表（单位：万元）</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SimSun" w:ascii="Times New Roman" w:hAnsi="Times New Roman"/>
                <w:b/>
                <w:color w:val="111827"/>
                <w:sz w:val="21"/>
              </w:rPr>
              <w:t>预算科目</w:t>
            </w:r>
          </w:p>
        </w:tc>
        <w:tc>
          <w:tcPr>
            <w:tcW w:type="dxa" w:w="2929"/>
          </w:tcPr>
          <w:p>
            <w:pPr>
              <w:jc w:val="center"/>
            </w:pPr>
            <w:r/>
            <w:r>
              <w:rPr>
                <w:rFonts w:eastAsia="SimSun" w:ascii="Times New Roman" w:hAnsi="Times New Roman"/>
                <w:b/>
                <w:color w:val="111827"/>
                <w:sz w:val="21"/>
              </w:rPr>
              <w:t>金额</w:t>
            </w:r>
          </w:p>
        </w:tc>
        <w:tc>
          <w:tcPr>
            <w:tcW w:type="dxa" w:w="2929"/>
          </w:tcPr>
          <w:p>
            <w:pPr>
              <w:jc w:val="center"/>
            </w:pPr>
            <w:r/>
            <w:r>
              <w:rPr>
                <w:rFonts w:eastAsia="SimSun" w:ascii="Times New Roman" w:hAnsi="Times New Roman"/>
                <w:b/>
                <w:color w:val="111827"/>
                <w:sz w:val="21"/>
              </w:rPr>
              <w:t>测算依据</w:t>
            </w:r>
          </w:p>
        </w:tc>
      </w:tr>
      <w:tr>
        <w:tc>
          <w:tcPr>
            <w:tcW w:type="dxa" w:w="2929"/>
          </w:tcPr>
          <w:p>
            <w:pPr>
              <w:jc w:val="left"/>
            </w:pPr>
            <w:r/>
            <w:r>
              <w:rPr>
                <w:rFonts w:eastAsia="SimSun" w:ascii="Times New Roman" w:hAnsi="Times New Roman"/>
                <w:color w:val="4B5563"/>
                <w:sz w:val="18"/>
              </w:rPr>
              <w:t>调研差旅费</w:t>
            </w:r>
          </w:p>
        </w:tc>
        <w:tc>
          <w:tcPr>
            <w:tcW w:type="dxa" w:w="2929"/>
          </w:tcPr>
          <w:p>
            <w:pPr>
              <w:jc w:val="right"/>
            </w:pPr>
            <w:r/>
            <w:r>
              <w:rPr>
                <w:rFonts w:eastAsia="SimSun" w:ascii="Times New Roman" w:hAnsi="Times New Roman"/>
                <w:color w:val="4B5563"/>
                <w:sz w:val="18"/>
              </w:rPr>
              <w:t>10</w:t>
            </w:r>
          </w:p>
        </w:tc>
        <w:tc>
          <w:tcPr>
            <w:tcW w:type="dxa" w:w="2929"/>
          </w:tcPr>
          <w:p>
            <w:pPr>
              <w:jc w:val="left"/>
            </w:pPr>
            <w:r/>
            <w:r>
              <w:rPr>
                <w:rFonts w:eastAsia="SimSun" w:ascii="Times New Roman" w:hAnsi="Times New Roman"/>
                <w:color w:val="4B5563"/>
                <w:sz w:val="18"/>
              </w:rPr>
              <w:t>赴长三角四地开展实地调研交通住宿费</w:t>
            </w:r>
          </w:p>
        </w:tc>
      </w:tr>
      <w:tr>
        <w:tc>
          <w:tcPr>
            <w:tcW w:type="dxa" w:w="2929"/>
          </w:tcPr>
          <w:p>
            <w:pPr>
              <w:jc w:val="left"/>
            </w:pPr>
            <w:r/>
            <w:r>
              <w:rPr>
                <w:rFonts w:eastAsia="SimSun" w:ascii="Times New Roman" w:hAnsi="Times New Roman"/>
                <w:color w:val="4B5563"/>
                <w:sz w:val="18"/>
              </w:rPr>
              <w:t>数据采集费</w:t>
            </w:r>
          </w:p>
        </w:tc>
        <w:tc>
          <w:tcPr>
            <w:tcW w:type="dxa" w:w="2929"/>
          </w:tcPr>
          <w:p>
            <w:pPr>
              <w:jc w:val="right"/>
            </w:pPr>
            <w:r/>
            <w:r>
              <w:rPr>
                <w:rFonts w:eastAsia="SimSun" w:ascii="Times New Roman" w:hAnsi="Times New Roman"/>
                <w:color w:val="4B5563"/>
                <w:sz w:val="18"/>
              </w:rPr>
              <w:t>5</w:t>
            </w:r>
          </w:p>
        </w:tc>
        <w:tc>
          <w:tcPr>
            <w:tcW w:type="dxa" w:w="2929"/>
          </w:tcPr>
          <w:p>
            <w:pPr>
              <w:jc w:val="left"/>
            </w:pPr>
            <w:r/>
            <w:r>
              <w:rPr>
                <w:rFonts w:eastAsia="SimSun" w:ascii="Times New Roman" w:hAnsi="Times New Roman"/>
                <w:color w:val="4B5563"/>
                <w:sz w:val="18"/>
              </w:rPr>
              <w:t>问卷平台服务、数据清洗及数据库建设</w:t>
            </w:r>
          </w:p>
        </w:tc>
      </w:tr>
      <w:tr>
        <w:tc>
          <w:tcPr>
            <w:tcW w:type="dxa" w:w="2929"/>
          </w:tcPr>
          <w:p>
            <w:pPr>
              <w:jc w:val="left"/>
            </w:pPr>
            <w:r/>
            <w:r>
              <w:rPr>
                <w:rFonts w:eastAsia="SimSun" w:ascii="Times New Roman" w:hAnsi="Times New Roman"/>
                <w:color w:val="4B5563"/>
                <w:sz w:val="18"/>
              </w:rPr>
              <w:t>会议费</w:t>
            </w:r>
          </w:p>
        </w:tc>
        <w:tc>
          <w:tcPr>
            <w:tcW w:type="dxa" w:w="2929"/>
          </w:tcPr>
          <w:p>
            <w:pPr>
              <w:jc w:val="right"/>
            </w:pPr>
            <w:r/>
            <w:r>
              <w:rPr>
                <w:rFonts w:eastAsia="SimSun" w:ascii="Times New Roman" w:hAnsi="Times New Roman"/>
                <w:color w:val="4B5563"/>
                <w:sz w:val="18"/>
              </w:rPr>
              <w:t>3</w:t>
            </w:r>
          </w:p>
        </w:tc>
        <w:tc>
          <w:tcPr>
            <w:tcW w:type="dxa" w:w="2929"/>
          </w:tcPr>
          <w:p>
            <w:pPr>
              <w:jc w:val="left"/>
            </w:pPr>
            <w:r/>
            <w:r>
              <w:rPr>
                <w:rFonts w:eastAsia="SimSun" w:ascii="Times New Roman" w:hAnsi="Times New Roman"/>
                <w:color w:val="4B5563"/>
                <w:sz w:val="18"/>
              </w:rPr>
              <w:t>开题、中期、结题及专家咨询会议支出</w:t>
            </w:r>
          </w:p>
        </w:tc>
      </w:tr>
      <w:tr>
        <w:tc>
          <w:tcPr>
            <w:tcW w:type="dxa" w:w="2929"/>
          </w:tcPr>
          <w:p>
            <w:pPr>
              <w:jc w:val="left"/>
            </w:pPr>
            <w:r/>
            <w:r>
              <w:rPr>
                <w:rFonts w:eastAsia="SimSun" w:ascii="Times New Roman" w:hAnsi="Times New Roman"/>
                <w:color w:val="4B5563"/>
                <w:sz w:val="18"/>
              </w:rPr>
              <w:t>出版/文献/信息传播知识产权事务费</w:t>
            </w:r>
          </w:p>
        </w:tc>
        <w:tc>
          <w:tcPr>
            <w:tcW w:type="dxa" w:w="2929"/>
          </w:tcPr>
          <w:p>
            <w:pPr>
              <w:jc w:val="right"/>
            </w:pPr>
            <w:r/>
            <w:r>
              <w:rPr>
                <w:rFonts w:eastAsia="SimSun" w:ascii="Times New Roman" w:hAnsi="Times New Roman"/>
                <w:color w:val="4B5563"/>
                <w:sz w:val="18"/>
              </w:rPr>
              <w:t>3</w:t>
            </w:r>
          </w:p>
        </w:tc>
        <w:tc>
          <w:tcPr>
            <w:tcW w:type="dxa" w:w="2929"/>
          </w:tcPr>
          <w:p>
            <w:pPr>
              <w:jc w:val="left"/>
            </w:pPr>
            <w:r/>
            <w:r>
              <w:rPr>
                <w:rFonts w:eastAsia="SimSun" w:ascii="Times New Roman" w:hAnsi="Times New Roman"/>
                <w:color w:val="4B5563"/>
                <w:sz w:val="18"/>
              </w:rPr>
              <w:t>专著出版、论文版面费及资料购置</w:t>
            </w:r>
          </w:p>
        </w:tc>
      </w:tr>
      <w:tr>
        <w:tc>
          <w:tcPr>
            <w:tcW w:type="dxa" w:w="2929"/>
          </w:tcPr>
          <w:p>
            <w:pPr>
              <w:jc w:val="left"/>
            </w:pPr>
            <w:r/>
            <w:r>
              <w:rPr>
                <w:rFonts w:eastAsia="SimSun" w:ascii="Times New Roman" w:hAnsi="Times New Roman"/>
                <w:color w:val="4B5563"/>
                <w:sz w:val="18"/>
              </w:rPr>
              <w:t>劳务费</w:t>
            </w:r>
          </w:p>
        </w:tc>
        <w:tc>
          <w:tcPr>
            <w:tcW w:type="dxa" w:w="2929"/>
          </w:tcPr>
          <w:p>
            <w:pPr>
              <w:jc w:val="right"/>
            </w:pPr>
            <w:r/>
            <w:r>
              <w:rPr>
                <w:rFonts w:eastAsia="SimSun" w:ascii="Times New Roman" w:hAnsi="Times New Roman"/>
                <w:color w:val="4B5563"/>
                <w:sz w:val="18"/>
              </w:rPr>
              <w:t>3</w:t>
            </w:r>
          </w:p>
        </w:tc>
        <w:tc>
          <w:tcPr>
            <w:tcW w:type="dxa" w:w="2929"/>
          </w:tcPr>
          <w:p>
            <w:pPr>
              <w:jc w:val="left"/>
            </w:pPr>
            <w:r/>
            <w:r>
              <w:rPr>
                <w:rFonts w:eastAsia="SimSun" w:ascii="Times New Roman" w:hAnsi="Times New Roman"/>
                <w:color w:val="4B5563"/>
                <w:sz w:val="18"/>
              </w:rPr>
              <w:t>研究生助研津贴及临时人员劳务</w:t>
            </w:r>
          </w:p>
        </w:tc>
      </w:tr>
      <w:tr>
        <w:tc>
          <w:tcPr>
            <w:tcW w:type="dxa" w:w="2929"/>
          </w:tcPr>
          <w:p>
            <w:pPr>
              <w:jc w:val="left"/>
            </w:pPr>
            <w:r/>
            <w:r>
              <w:rPr>
                <w:rFonts w:eastAsia="SimSun" w:ascii="Times New Roman" w:hAnsi="Times New Roman"/>
                <w:color w:val="4B5563"/>
                <w:sz w:val="18"/>
              </w:rPr>
              <w:t>其他支出</w:t>
            </w:r>
          </w:p>
        </w:tc>
        <w:tc>
          <w:tcPr>
            <w:tcW w:type="dxa" w:w="2929"/>
          </w:tcPr>
          <w:p>
            <w:pPr>
              <w:jc w:val="right"/>
            </w:pPr>
            <w:r/>
            <w:r>
              <w:rPr>
                <w:rFonts w:eastAsia="SimSun" w:ascii="Times New Roman" w:hAnsi="Times New Roman"/>
                <w:color w:val="4B5563"/>
                <w:sz w:val="18"/>
              </w:rPr>
              <w:t>1</w:t>
            </w:r>
          </w:p>
        </w:tc>
        <w:tc>
          <w:tcPr>
            <w:tcW w:type="dxa" w:w="2929"/>
          </w:tcPr>
          <w:p>
            <w:pPr>
              <w:jc w:val="left"/>
            </w:pPr>
            <w:r/>
            <w:r>
              <w:rPr>
                <w:rFonts w:eastAsia="SimSun" w:ascii="Times New Roman" w:hAnsi="Times New Roman"/>
                <w:color w:val="4B5563"/>
                <w:sz w:val="18"/>
              </w:rPr>
              <w:t>办公耗材及不可预见费用</w:t>
            </w:r>
          </w:p>
        </w:tc>
      </w:tr>
      <w:tr>
        <w:tc>
          <w:tcPr>
            <w:tcW w:type="dxa" w:w="2929"/>
          </w:tcPr>
          <w:p>
            <w:pPr>
              <w:jc w:val="left"/>
            </w:pPr>
            <w:r/>
            <w:r>
              <w:rPr>
                <w:rFonts w:eastAsia="SimSun" w:ascii="Times New Roman" w:hAnsi="Times New Roman"/>
                <w:color w:val="4B5563"/>
                <w:sz w:val="18"/>
              </w:rPr>
              <w:t>合计</w:t>
            </w:r>
          </w:p>
        </w:tc>
        <w:tc>
          <w:tcPr>
            <w:tcW w:type="dxa" w:w="2929"/>
          </w:tcPr>
          <w:p>
            <w:pPr>
              <w:jc w:val="right"/>
            </w:pPr>
            <w:r/>
            <w:r>
              <w:rPr>
                <w:rFonts w:eastAsia="SimSun" w:ascii="Times New Roman" w:hAnsi="Times New Roman"/>
                <w:color w:val="4B5563"/>
                <w:sz w:val="18"/>
              </w:rPr>
              <w:t>25.00</w:t>
            </w:r>
          </w:p>
        </w:tc>
        <w:tc>
          <w:tcPr>
            <w:tcW w:type="dxa" w:w="2929"/>
          </w:tcPr>
          <w:p>
            <w:pPr>
              <w:jc w:val="left"/>
            </w:pPr>
            <w:r/>
            <w:r>
              <w:rPr>
                <w:rFonts w:eastAsia="SimSun" w:ascii="Times New Roman" w:hAnsi="Times New Roman"/>
                <w:color w:val="4B5563"/>
                <w:sz w:val="18"/>
              </w:rPr>
              <w:t>—</w:t>
            </w:r>
          </w:p>
        </w:tc>
      </w:tr>
    </w:tbl>
    <w:p>
      <w:pPr>
        <w:spacing w:line="440" w:lineRule="exact" w:before="160" w:after="40"/>
      </w:pPr>
      <w:r>
        <w:rPr>
          <w:rFonts w:ascii="Times New Roman" w:hAnsi="Times New Roman" w:eastAsia="SimHei"/>
          <w:b/>
          <w:color w:val="000000"/>
          <w:sz w:val="24"/>
        </w:rPr>
        <w:t>预算说明</w:t>
      </w:r>
    </w:p>
    <w:p>
      <w:pPr>
        <w:spacing w:line="440" w:lineRule="exact" w:before="0" w:after="0"/>
        <w:ind w:firstLine="480"/>
      </w:pPr>
      <w:r>
        <w:rPr>
          <w:rFonts w:ascii="Times New Roman" w:hAnsi="Times New Roman" w:eastAsia="SimSun"/>
          <w:b w:val="0"/>
          <w:color w:val="000000"/>
          <w:sz w:val="24"/>
        </w:rPr>
        <w:t>本项目申请经费25万元，预算编制依据如下：（1）调研差旅费10万元：用于课题组赴上海、杭州、合肥及皖北等地开展实地调研，包括交通、住宿及市内交通费用，预计往返20人次，每次平均5000元；（2）数据采集费5万元：用于问卷调查平台服务费、数据清洗、案例资料购买及数据库建设维护；（3）会议费3万元：用于举办开题论证会、中期检查会、专家咨询会及小型学术研讨会，包括场地租赁、专家劳务及会议材料费；（4）出版/文献/信息传播知识产权事务费3万元：用于专著出版资助、论文版面费、图书资料购置及文献数据库下载；（5）劳务费3万元：用于支付参与项目的研究生助研津贴及临时聘用人员劳务报酬；（6）其他支出1万元：用于不可预见的零星开支及办公用品消耗。各项预算比例合理，符合社科基金经费管理规定。</w:t>
      </w:r>
    </w:p>
    <w:p>
      <w:pPr>
        <w:spacing w:line="440" w:lineRule="exact" w:before="400" w:after="160"/>
      </w:pPr>
      <w:r>
        <w:rPr>
          <w:rFonts w:ascii="Times New Roman" w:hAnsi="Times New Roman" w:eastAsia="SimHei"/>
          <w:b/>
          <w:color w:val="000000"/>
          <w:sz w:val="28"/>
        </w:rPr>
        <w:t>参考文献</w:t>
      </w:r>
    </w:p>
    <w:p>
      <w:pPr>
        <w:spacing w:line="440" w:lineRule="exact" w:before="0" w:after="0"/>
      </w:pPr>
      <w:r>
        <w:rPr>
          <w:rFonts w:ascii="Times New Roman" w:hAnsi="Times New Roman" w:eastAsia="SimSun"/>
          <w:b w:val="0"/>
          <w:color w:val="000000"/>
          <w:sz w:val="20"/>
        </w:rPr>
        <w:t>[1] 孟天广. 数字治理生态：数字政府的理论图景与研究议程. 政治学研究, 2022(5): 12-24.</w:t>
      </w:r>
    </w:p>
    <w:p>
      <w:pPr>
        <w:spacing w:line="440" w:lineRule="exact" w:before="0" w:after="0"/>
      </w:pPr>
      <w:r>
        <w:rPr>
          <w:rFonts w:ascii="Times New Roman" w:hAnsi="Times New Roman" w:eastAsia="SimSun"/>
          <w:b w:val="0"/>
          <w:color w:val="000000"/>
          <w:sz w:val="20"/>
        </w:rPr>
        <w:t>[2] 黄璜. 数字政府：历史脉络、理论逻辑与中国实践. 中国行政管理, 2023(1): 6-15.</w:t>
      </w:r>
    </w:p>
    <w:p>
      <w:pPr>
        <w:spacing w:line="440" w:lineRule="exact" w:before="0" w:after="0"/>
      </w:pPr>
      <w:r>
        <w:rPr>
          <w:rFonts w:ascii="Times New Roman" w:hAnsi="Times New Roman" w:eastAsia="SimSun"/>
          <w:b w:val="0"/>
          <w:color w:val="000000"/>
          <w:sz w:val="20"/>
        </w:rPr>
        <w:t>[3] 郁建兴, 黄飚. “最多跑一次”改革：浙江经验与中国方案. 管理世界, 2019, 35(6): 85-95.</w:t>
      </w:r>
    </w:p>
    <w:p>
      <w:pPr>
        <w:spacing w:line="440" w:lineRule="exact" w:before="0" w:after="0"/>
      </w:pPr>
      <w:r>
        <w:rPr>
          <w:rFonts w:ascii="Times New Roman" w:hAnsi="Times New Roman" w:eastAsia="SimSun"/>
          <w:b w:val="0"/>
          <w:color w:val="000000"/>
          <w:sz w:val="20"/>
        </w:rPr>
        <w:t>[4] 陈振明, 薛澜. 中国公共管理理论研究的重点领域与主题. 中国社会科学, 2021(3): 45-60.</w:t>
      </w:r>
    </w:p>
    <w:p>
      <w:pPr>
        <w:spacing w:line="440" w:lineRule="exact" w:before="0" w:after="0"/>
      </w:pPr>
      <w:r>
        <w:rPr>
          <w:rFonts w:ascii="Times New Roman" w:hAnsi="Times New Roman" w:eastAsia="SimSun"/>
          <w:b w:val="0"/>
          <w:color w:val="000000"/>
          <w:sz w:val="20"/>
        </w:rPr>
        <w:t>[5] 王绍光. 国家治理的基础能力建设. 开放时代, 2020(4): 12-28.</w:t>
      </w:r>
    </w:p>
    <w:p>
      <w:pPr>
        <w:spacing w:line="440" w:lineRule="exact" w:before="0" w:after="0"/>
      </w:pPr>
      <w:r>
        <w:rPr>
          <w:rFonts w:ascii="Times New Roman" w:hAnsi="Times New Roman" w:eastAsia="SimSun"/>
          <w:b w:val="0"/>
          <w:color w:val="000000"/>
          <w:sz w:val="20"/>
        </w:rPr>
        <w:t>[6] Dunleavy P, Margetts H, Bastow S, et al. New Public Management is Dead: Long Live Digital-Era Governance. Journal of Public Administration Research and Theory, 2006, 16(3): 467-494.</w:t>
      </w:r>
    </w:p>
    <w:p>
      <w:pPr>
        <w:spacing w:line="440" w:lineRule="exact" w:before="0" w:after="0"/>
      </w:pPr>
      <w:r>
        <w:rPr>
          <w:rFonts w:ascii="Times New Roman" w:hAnsi="Times New Roman" w:eastAsia="SimSun"/>
          <w:b w:val="0"/>
          <w:color w:val="000000"/>
          <w:sz w:val="20"/>
        </w:rPr>
        <w:t>[7] Mergel I, Edelmann N, Haug N. Defining digital transformation: Results from expert interviews. Government Information Quarterly, 2019, 36(4): 101385.</w:t>
      </w:r>
    </w:p>
    <w:p>
      <w:pPr>
        <w:spacing w:line="440" w:lineRule="exact" w:before="0" w:after="0"/>
      </w:pPr>
      <w:r>
        <w:rPr>
          <w:rFonts w:ascii="Times New Roman" w:hAnsi="Times New Roman" w:eastAsia="SimSun"/>
          <w:b w:val="0"/>
          <w:color w:val="000000"/>
          <w:sz w:val="20"/>
        </w:rPr>
        <w:t>[8] Janowski T. Digital government evolution: From transformation to contextualization. Government Information Quarterly, 2015, 32(3): 221-236.</w:t>
      </w:r>
    </w:p>
    <w:p>
      <w:pPr>
        <w:spacing w:line="440" w:lineRule="exact" w:before="0" w:after="0"/>
      </w:pPr>
      <w:r>
        <w:rPr>
          <w:rFonts w:ascii="Times New Roman" w:hAnsi="Times New Roman" w:eastAsia="SimSun"/>
          <w:b w:val="0"/>
          <w:color w:val="000000"/>
          <w:sz w:val="20"/>
        </w:rPr>
        <w:t>[9] O'Reilly D. The rise and fall of open government. Public Administration Review, 2021, 81(2): 234-245.</w:t>
      </w:r>
    </w:p>
    <w:p>
      <w:pPr>
        <w:spacing w:line="440" w:lineRule="exact" w:before="0" w:after="0"/>
      </w:pPr>
      <w:r>
        <w:rPr>
          <w:rFonts w:ascii="Times New Roman" w:hAnsi="Times New Roman" w:eastAsia="SimSun"/>
          <w:b w:val="0"/>
          <w:color w:val="000000"/>
          <w:sz w:val="20"/>
        </w:rPr>
        <w:t>[10] DiMaggio P J, Powell W W. The iron cage revisited: Institutional isomorphism and collective rationality in organizational fields. American Sociological Review, 1983, 48(2): 147-160.</w:t>
      </w:r>
    </w:p>
    <w:p>
      <w:pPr>
        <w:spacing w:line="440" w:lineRule="exact" w:before="0" w:after="0"/>
      </w:pPr>
      <w:r>
        <w:rPr>
          <w:rFonts w:ascii="Times New Roman" w:hAnsi="Times New Roman" w:eastAsia="SimSun"/>
          <w:b w:val="0"/>
          <w:color w:val="000000"/>
          <w:sz w:val="20"/>
        </w:rPr>
        <w:t>[11] 周雪光. 中国国家治理的制度逻辑：一个组织学研究. 生活·读书·新知三联书店, 2017.</w:t>
      </w:r>
    </w:p>
    <w:p>
      <w:pPr>
        <w:spacing w:line="440" w:lineRule="exact" w:before="0" w:after="0"/>
      </w:pPr>
      <w:r>
        <w:rPr>
          <w:rFonts w:ascii="Times New Roman" w:hAnsi="Times New Roman" w:eastAsia="SimSun"/>
          <w:b w:val="0"/>
          <w:color w:val="000000"/>
          <w:sz w:val="20"/>
        </w:rPr>
        <w:t>[12] 何艳玲, 汪广龙. 数字时代的城市治理：技术赋能与制度重构. 学海, 2022(2): 78-86.</w:t>
      </w:r>
    </w:p>
    <w:p>
      <w:pPr>
        <w:spacing w:line="440" w:lineRule="exact" w:before="0" w:after="0"/>
      </w:pPr>
      <w:r>
        <w:rPr>
          <w:rFonts w:ascii="Times New Roman" w:hAnsi="Times New Roman" w:eastAsia="SimSun"/>
          <w:b w:val="0"/>
          <w:color w:val="000000"/>
          <w:sz w:val="20"/>
        </w:rPr>
        <w:t>[13] 张克中, 欧阳洁. 数字化如何促进政府治理现代化？. 经济学动态, 2021(9): 12-25.</w:t>
      </w:r>
    </w:p>
    <w:p>
      <w:pPr>
        <w:spacing w:line="440" w:lineRule="exact" w:before="0" w:after="0"/>
      </w:pPr>
      <w:r>
        <w:rPr>
          <w:rFonts w:ascii="Times New Roman" w:hAnsi="Times New Roman" w:eastAsia="SimSun"/>
          <w:b w:val="0"/>
          <w:color w:val="000000"/>
          <w:sz w:val="20"/>
        </w:rPr>
        <w:t>[14] Orlikowski W J. Structuring technology: The case of a groupware implementation. Organization Science, 1992, 3(3): 391-411.</w:t>
      </w:r>
    </w:p>
    <w:p>
      <w:pPr>
        <w:spacing w:line="440" w:lineRule="exact" w:before="0" w:after="0"/>
      </w:pPr>
      <w:r>
        <w:rPr>
          <w:rFonts w:ascii="Times New Roman" w:hAnsi="Times New Roman" w:eastAsia="SimSun"/>
          <w:b w:val="0"/>
          <w:color w:val="000000"/>
          <w:sz w:val="20"/>
        </w:rPr>
        <w:t>[15] 马亮. 数字政府建设的国际经验与中国路径. 人民论坛·学术前沿, 2023(1): 45-53.</w:t>
      </w:r>
    </w:p>
    <w:p>
      <w:pPr>
        <w:spacing w:line="440" w:lineRule="exact" w:before="0" w:after="0"/>
      </w:pPr>
      <w:r>
        <w:rPr>
          <w:rFonts w:ascii="Times New Roman" w:hAnsi="Times New Roman" w:eastAsia="SimSun"/>
          <w:b w:val="0"/>
          <w:color w:val="000000"/>
          <w:sz w:val="20"/>
        </w:rPr>
        <w:t>[16] 范逢春, 李晓梅. 基层减负背景下形式主义的生成逻辑与治理路径. 公共管理学报, 2022, 19(2): 1-12.</w:t>
      </w:r>
    </w:p>
    <w:p>
      <w:pPr>
        <w:spacing w:line="440" w:lineRule="exact" w:before="0" w:after="0"/>
      </w:pPr>
      <w:r>
        <w:rPr>
          <w:rFonts w:ascii="Times New Roman" w:hAnsi="Times New Roman" w:eastAsia="SimSun"/>
          <w:b w:val="0"/>
          <w:color w:val="000000"/>
          <w:sz w:val="20"/>
        </w:rPr>
        <w:t>[17] Reddick C G, Turner M. Digital divide and e-government: A review of the literature. Government Information Quarterly, 2020, 37(2): 101456.</w:t>
      </w:r>
    </w:p>
    <w:p>
      <w:pPr>
        <w:spacing w:line="440" w:lineRule="exact" w:before="0" w:after="0"/>
      </w:pPr>
      <w:r>
        <w:rPr>
          <w:rFonts w:ascii="Times New Roman" w:hAnsi="Times New Roman" w:eastAsia="SimSun"/>
          <w:b w:val="0"/>
          <w:color w:val="000000"/>
          <w:sz w:val="20"/>
        </w:rPr>
        <w:t>[18] Hargittai E. Second-level digital divide: Differences in people's online skills. First Monday, 2002, 7(4).</w:t>
      </w:r>
    </w:p>
    <w:p>
      <w:pPr>
        <w:spacing w:line="440" w:lineRule="exact" w:before="0" w:after="0"/>
      </w:pPr>
      <w:r>
        <w:rPr>
          <w:rFonts w:ascii="Times New Roman" w:hAnsi="Times New Roman" w:eastAsia="SimSun"/>
          <w:b w:val="0"/>
          <w:color w:val="000000"/>
          <w:sz w:val="20"/>
        </w:rPr>
        <w:t>[19] Sen A. Development as Freedom. Oxford University Press, 1999.</w:t>
      </w:r>
    </w:p>
    <w:p>
      <w:pPr>
        <w:spacing w:line="440" w:lineRule="exact" w:before="0" w:after="0"/>
      </w:pPr>
      <w:r>
        <w:rPr>
          <w:rFonts w:ascii="Times New Roman" w:hAnsi="Times New Roman" w:eastAsia="SimSun"/>
          <w:b w:val="0"/>
          <w:color w:val="000000"/>
          <w:sz w:val="20"/>
        </w:rPr>
        <w:t>[20] 郑磊. 数字包容：概念、维度与测量. 图书情报知识, 2021(5): 4-12.</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