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20" w:lineRule="exact" w:before="400" w:after="240"/>
        <w:jc w:val="center"/>
      </w:pPr>
      <w:r>
        <w:rPr>
          <w:rFonts w:ascii="SimSun" w:hAnsi="SimSun" w:eastAsia="SimSun"/>
          <w:b/>
          <w:color w:val="000000"/>
          <w:sz w:val="36"/>
        </w:rPr>
        <w:t>司法鉴定意见书</w:t>
      </w:r>
    </w:p>
    <w:p>
      <w:pPr>
        <w:spacing w:line="520" w:lineRule="exact" w:before="0" w:after="320"/>
        <w:jc w:val="center"/>
      </w:pPr>
      <w:r>
        <w:rPr>
          <w:rFonts w:ascii="SimSun" w:hAnsi="SimSun" w:eastAsia="SimSun"/>
          <w:b w:val="0"/>
          <w:color w:val="000000"/>
          <w:sz w:val="24"/>
        </w:rPr>
        <w:t>(2026)法临鉴字第0317号</w:t>
      </w:r>
    </w:p>
    <w:p>
      <w:pPr>
        <w:spacing w:line="520" w:lineRule="exact" w:before="360" w:after="120"/>
      </w:pPr>
      <w:r>
        <w:rPr>
          <w:rFonts w:ascii="SimHei" w:hAnsi="SimHei" w:eastAsia="SimHei"/>
          <w:b/>
          <w:color w:val="000000"/>
          <w:sz w:val="28"/>
        </w:rPr>
        <w:t>一、基本情况</w:t>
      </w:r>
    </w:p>
    <w:p>
      <w:pPr>
        <w:spacing w:line="520" w:lineRule="exact" w:before="0" w:after="0"/>
        <w:ind w:firstLine="480"/>
      </w:pPr>
      <w:r>
        <w:rPr>
          <w:rFonts w:ascii="FangSong" w:hAnsi="FangSong" w:eastAsia="FangSong"/>
          <w:b w:val="0"/>
          <w:color w:val="000000"/>
          <w:sz w:val="24"/>
        </w:rPr>
        <w:t>委托人：余杭区公安分局刑侦大队</w:t>
      </w:r>
    </w:p>
    <w:p>
      <w:pPr>
        <w:spacing w:line="520" w:lineRule="exact" w:before="0" w:after="0"/>
        <w:ind w:firstLine="480"/>
      </w:pPr>
      <w:r>
        <w:rPr>
          <w:rFonts w:ascii="FangSong" w:hAnsi="FangSong" w:eastAsia="FangSong"/>
          <w:b w:val="0"/>
          <w:color w:val="000000"/>
          <w:sz w:val="24"/>
        </w:rPr>
        <w:t>委托案号：余公（刑）字〔2026〕第0517号</w:t>
      </w:r>
    </w:p>
    <w:p>
      <w:pPr>
        <w:spacing w:line="520" w:lineRule="exact" w:before="0" w:after="0"/>
        <w:ind w:firstLine="480"/>
      </w:pPr>
      <w:r>
        <w:rPr>
          <w:rFonts w:ascii="FangSong" w:hAnsi="FangSong" w:eastAsia="FangSong"/>
          <w:b w:val="0"/>
          <w:color w:val="000000"/>
          <w:sz w:val="24"/>
        </w:rPr>
        <w:t>鉴定事项：对被鉴定人李某某的损伤程度进行法医学鉴定</w:t>
      </w:r>
    </w:p>
    <w:p>
      <w:pPr>
        <w:spacing w:line="520" w:lineRule="exact" w:before="0" w:after="0"/>
        <w:ind w:firstLine="480"/>
      </w:pPr>
      <w:r>
        <w:rPr>
          <w:rFonts w:ascii="FangSong" w:hAnsi="FangSong" w:eastAsia="FangSong"/>
          <w:b w:val="0"/>
          <w:color w:val="000000"/>
          <w:sz w:val="24"/>
        </w:rPr>
        <w:t>受理日期：2026年5月20日</w:t>
      </w:r>
    </w:p>
    <w:p>
      <w:pPr>
        <w:spacing w:line="520" w:lineRule="exact" w:before="0" w:after="0"/>
        <w:ind w:firstLine="480"/>
      </w:pPr>
      <w:r>
        <w:rPr>
          <w:rFonts w:ascii="FangSong" w:hAnsi="FangSong" w:eastAsia="FangSong"/>
          <w:b w:val="0"/>
          <w:color w:val="000000"/>
          <w:sz w:val="24"/>
        </w:rPr>
        <w:t>鉴定完成日期：2026年5月22日</w:t>
      </w:r>
    </w:p>
    <w:p>
      <w:pPr>
        <w:spacing w:line="520" w:lineRule="exact" w:before="0" w:after="0"/>
        <w:ind w:firstLine="480"/>
      </w:pPr>
      <w:r>
        <w:rPr>
          <w:rFonts w:ascii="FangSong" w:hAnsi="FangSong" w:eastAsia="FangSong"/>
          <w:b w:val="0"/>
          <w:color w:val="000000"/>
          <w:sz w:val="24"/>
        </w:rPr>
        <w:t>鉴定类别：法医临床</w:t>
      </w:r>
    </w:p>
    <w:p>
      <w:pPr>
        <w:spacing w:line="520" w:lineRule="exact" w:before="360" w:after="120"/>
      </w:pPr>
      <w:r>
        <w:rPr>
          <w:rFonts w:ascii="SimHei" w:hAnsi="SimHei" w:eastAsia="SimHei"/>
          <w:b/>
          <w:color w:val="000000"/>
          <w:sz w:val="28"/>
        </w:rPr>
        <w:t>二、检材</w:t>
      </w:r>
    </w:p>
    <w:p>
      <w:pPr>
        <w:spacing w:line="520" w:lineRule="exact" w:before="0" w:after="0"/>
        <w:ind w:firstLine="480"/>
      </w:pPr>
      <w:r>
        <w:rPr>
          <w:rFonts w:ascii="FangSong" w:hAnsi="FangSong" w:eastAsia="FangSong"/>
          <w:b w:val="0"/>
          <w:color w:val="000000"/>
          <w:sz w:val="24"/>
        </w:rPr>
        <w:t>1. 检材1：余杭区第一人民医院病历复印件一份（门诊号：20260515003）</w:t>
      </w:r>
    </w:p>
    <w:p>
      <w:pPr>
        <w:spacing w:line="520" w:lineRule="exact" w:before="0" w:after="0"/>
        <w:ind w:firstLine="480"/>
      </w:pPr>
      <w:r>
        <w:rPr>
          <w:rFonts w:ascii="FangSong" w:hAnsi="FangSong" w:eastAsia="FangSong"/>
          <w:b w:val="0"/>
          <w:color w:val="000000"/>
          <w:sz w:val="24"/>
        </w:rPr>
        <w:t>2. 检材2：头部CT片一张（摄片日期：2026年5月15日）</w:t>
      </w:r>
    </w:p>
    <w:p>
      <w:pPr>
        <w:spacing w:line="520" w:lineRule="exact" w:before="0" w:after="0"/>
        <w:ind w:firstLine="480"/>
      </w:pPr>
      <w:r>
        <w:rPr>
          <w:rFonts w:ascii="FangSong" w:hAnsi="FangSong" w:eastAsia="FangSong"/>
          <w:b w:val="0"/>
          <w:color w:val="000000"/>
          <w:sz w:val="24"/>
        </w:rPr>
        <w:t>3. 检材3：胸部CT片一张（摄片日期：2026年5月15日）</w:t>
      </w:r>
    </w:p>
    <w:p>
      <w:pPr>
        <w:spacing w:line="520" w:lineRule="exact" w:before="0" w:after="0"/>
        <w:ind w:firstLine="480"/>
      </w:pPr>
      <w:r>
        <w:rPr>
          <w:rFonts w:ascii="FangSong" w:hAnsi="FangSong" w:eastAsia="FangSong"/>
          <w:b w:val="0"/>
          <w:color w:val="000000"/>
          <w:sz w:val="24"/>
        </w:rPr>
        <w:t>4. 检材4：损伤部位照片六张（拍摄日期：2026年5月21日，编号ZP-001至ZP-006）</w:t>
      </w:r>
    </w:p>
    <w:p>
      <w:pPr>
        <w:spacing w:line="520" w:lineRule="exact" w:before="360" w:after="120"/>
      </w:pPr>
      <w:r>
        <w:rPr>
          <w:rFonts w:ascii="SimHei" w:hAnsi="SimHei" w:eastAsia="SimHei"/>
          <w:b/>
          <w:color w:val="000000"/>
          <w:sz w:val="28"/>
        </w:rPr>
        <w:t>三、检验过程</w:t>
      </w:r>
    </w:p>
    <w:p>
      <w:pPr>
        <w:spacing w:line="520" w:lineRule="exact" w:before="0" w:after="0"/>
        <w:ind w:firstLine="480"/>
      </w:pPr>
      <w:r>
        <w:rPr>
          <w:rFonts w:ascii="FangSong" w:hAnsi="FangSong" w:eastAsia="FangSong"/>
          <w:b w:val="0"/>
          <w:color w:val="000000"/>
          <w:sz w:val="24"/>
        </w:rPr>
        <w:t>2026年5月21日，本鉴定人在浙江势行司法鉴定中心法医临床检验室对被鉴定人李某某进行法医学活体检验。检验前核对被鉴定人身份信息（身份证号：33011019900815XXXX），确认其本人到场、神志清楚、查体合作。采用目测、触诊、叩诊及影像学阅片方法系统检查：1. 头面部：见左侧额颞部弧形创口1处，长6.5cm，已缝合，缝线在位；创周软组织肿胀，压痛（+）；左眼眶周围片状皮下淤血，范围约4.0cm×3.0cm；2. 胸腹部：左侧胸壁第4、5、6肋骨区域压痛明显，可触及骨擦感，胸廓挤压试验（+）；腹部平软，无压痛及反跳痛；3. 四肢及脊柱：活动自如，关节活动度正常，脊柱无压痛及叩击痛；4. 神经系统：生理反射存在，病理反射未引出。同步调阅并复核送检CT影像资料：头部CT（2026-05-15）示左侧额颞部头皮血肿，颅骨连续性完整，颅内未见出血或挫伤；胸部CT（2026-05-15）示左侧第4、5、6肋骨骨折，断端对位对线良好，无明显移位；双侧胸腔未见积液，双肺实质结构清晰。</w:t>
      </w:r>
    </w:p>
    <w:p>
      <w:pPr>
        <w:spacing w:line="520" w:lineRule="exact" w:before="360" w:after="120"/>
      </w:pPr>
      <w:r>
        <w:rPr>
          <w:rFonts w:ascii="SimHei" w:hAnsi="SimHei" w:eastAsia="SimHei"/>
          <w:b/>
          <w:color w:val="000000"/>
          <w:sz w:val="28"/>
        </w:rPr>
        <w:t>四、分析说明</w:t>
      </w:r>
    </w:p>
    <w:p>
      <w:pPr>
        <w:spacing w:line="520" w:lineRule="exact" w:before="0" w:after="0"/>
        <w:ind w:firstLine="480"/>
      </w:pPr>
      <w:r>
        <w:rPr>
          <w:rFonts w:ascii="FangSong" w:hAnsi="FangSong" w:eastAsia="FangSong"/>
          <w:b w:val="0"/>
          <w:color w:val="000000"/>
          <w:sz w:val="24"/>
        </w:rPr>
        <w:t>依据《人体损伤程度鉴定标准》（最高人民法院、最高人民检察院、公安部、国家安全部、司法部公告〔2013〕第48号，2014年1月1日起施行）进行综合分析：1. 头面部创口：被鉴定人左侧额颞部存在一处长度为6.5cm的弧形创口，创缘整齐、创壁平整，符合钝器（如啤酒瓶）打击所致，该创口长度已超过《标准》第5.2.4条a款规定的‘面部单个创口长度超过5.0cm’之轻伤二级阈值；2. 肋骨骨折：胸部CT明确显示左侧第4、5、6肋骨各见一处骨折线，三处骨折均位于肋骨体部，断端无移位，影像学征象典型、客观可重复，符合《标准》第5.6.4条b款‘肋骨骨折2处以上’之轻伤二级情形；3. 损伤关联性：创口位置与头面部受击史吻合，肋骨骨折分布集中于左侧胸壁且伴骨擦感、胸廓挤压试验阳性，与脚踢踹外力作用机制一致；所有损伤均发生于2026年5月15日案发当日，病历、影像与查体所见高度统一，可排除陈旧性或自身疾病因素；4. 综合评定：本案存在两项独立构成轻伤二级的损伤情形，根据《标准》第4.2条‘对于两个以上损伤应当分别鉴定，综合评定’及‘就高原则’，本例损伤程度应评定为轻伤二级。</w:t>
      </w:r>
    </w:p>
    <w:p>
      <w:pPr>
        <w:spacing w:line="520" w:lineRule="exact" w:before="360" w:after="120"/>
      </w:pPr>
      <w:r>
        <w:rPr>
          <w:rFonts w:ascii="SimHei" w:hAnsi="SimHei" w:eastAsia="SimHei"/>
          <w:b/>
          <w:color w:val="000000"/>
          <w:sz w:val="28"/>
        </w:rPr>
        <w:t>五、鉴定意见</w:t>
      </w:r>
    </w:p>
    <w:p>
      <w:pPr>
        <w:spacing w:line="520" w:lineRule="exact" w:before="0" w:after="0"/>
        <w:ind w:firstLine="480"/>
      </w:pPr>
      <w:r>
        <w:rPr>
          <w:rFonts w:ascii="FangSong" w:hAnsi="FangSong" w:eastAsia="FangSong"/>
          <w:b w:val="0"/>
          <w:color w:val="000000"/>
          <w:sz w:val="24"/>
        </w:rPr>
        <w:t>被鉴定人李某某本次外伤致左侧额颞部创口（长6.5cm）及左侧第4、5、6肋骨骨折，其损伤程度属轻伤二级。</w:t>
      </w:r>
    </w:p>
    <w:p>
      <w:pPr>
        <w:spacing w:line="520" w:lineRule="exact" w:before="360" w:after="120"/>
      </w:pPr>
      <w:r>
        <w:rPr>
          <w:rFonts w:ascii="SimHei" w:hAnsi="SimHei" w:eastAsia="SimHei"/>
          <w:b/>
          <w:color w:val="000000"/>
          <w:sz w:val="28"/>
        </w:rPr>
        <w:t>六、附件</w:t>
      </w:r>
    </w:p>
    <w:p>
      <w:pPr>
        <w:spacing w:line="520" w:lineRule="exact" w:before="0" w:after="0"/>
        <w:ind w:firstLine="480"/>
      </w:pPr>
      <w:r>
        <w:rPr>
          <w:rFonts w:ascii="FangSong" w:hAnsi="FangSong" w:eastAsia="FangSong"/>
          <w:b w:val="0"/>
          <w:color w:val="000000"/>
          <w:sz w:val="24"/>
        </w:rPr>
        <w:t>1. 附件1：法医临床检验照片六张（编号ZP-001至ZP-006）</w:t>
      </w:r>
    </w:p>
    <w:p>
      <w:pPr>
        <w:spacing w:line="520" w:lineRule="exact" w:before="0" w:after="0"/>
        <w:ind w:firstLine="480"/>
      </w:pPr>
      <w:r>
        <w:rPr>
          <w:rFonts w:ascii="FangSong" w:hAnsi="FangSong" w:eastAsia="FangSong"/>
          <w:b w:val="0"/>
          <w:color w:val="000000"/>
          <w:sz w:val="24"/>
        </w:rPr>
        <w:t>2. 附件2：头部CT影像诊断报告单复印件一份</w:t>
      </w:r>
    </w:p>
    <w:p>
      <w:pPr>
        <w:spacing w:line="520" w:lineRule="exact" w:before="0" w:after="0"/>
        <w:ind w:firstLine="480"/>
      </w:pPr>
      <w:r>
        <w:rPr>
          <w:rFonts w:ascii="FangSong" w:hAnsi="FangSong" w:eastAsia="FangSong"/>
          <w:b w:val="0"/>
          <w:color w:val="000000"/>
          <w:sz w:val="24"/>
        </w:rPr>
        <w:t>3. 附件3：胸部CT影像诊断报告单复印件一份</w:t>
      </w:r>
    </w:p>
    <w:p>
      <w:pPr>
        <w:spacing w:line="520" w:lineRule="exact" w:before="600" w:after="0"/>
      </w:pPr>
    </w:p>
    <w:p>
      <w:pPr>
        <w:spacing w:line="520" w:lineRule="exact" w:before="0" w:after="0"/>
        <w:jc w:val="right"/>
      </w:pPr>
      <w:r>
        <w:rPr>
          <w:rFonts w:ascii="FangSong" w:hAnsi="FangSong" w:eastAsia="FangSong"/>
          <w:b w:val="0"/>
          <w:color w:val="000000"/>
          <w:sz w:val="24"/>
        </w:rPr>
        <w:t>司法鉴定人：陈法医 司法鉴定人执业证号：3301012010000001</w:t>
      </w:r>
    </w:p>
    <w:p>
      <w:pPr>
        <w:spacing w:line="520" w:lineRule="exact" w:before="0" w:after="0"/>
        <w:jc w:val="right"/>
      </w:pPr>
      <w:r>
        <w:rPr>
          <w:rFonts w:ascii="FangSong" w:hAnsi="FangSong" w:eastAsia="FangSong"/>
          <w:b w:val="0"/>
          <w:color w:val="000000"/>
          <w:sz w:val="24"/>
        </w:rPr>
        <w:t>复核人：林法医 司法鉴定人执业证号：3301012015000002</w:t>
      </w:r>
    </w:p>
    <w:p>
      <w:pPr>
        <w:spacing w:line="520" w:lineRule="exact" w:before="0" w:after="0"/>
        <w:jc w:val="right"/>
      </w:pPr>
      <w:r>
        <w:rPr>
          <w:rFonts w:ascii="FangSong" w:hAnsi="FangSong" w:eastAsia="FangSong"/>
          <w:b w:val="0"/>
          <w:color w:val="000000"/>
          <w:sz w:val="24"/>
        </w:rPr>
        <w:t>浙江势行司法鉴定中心</w:t>
      </w:r>
    </w:p>
    <w:p>
      <w:pPr>
        <w:spacing w:line="520" w:lineRule="exact" w:before="0" w:after="0"/>
        <w:jc w:val="right"/>
      </w:pPr>
      <w:r>
        <w:rPr>
          <w:rFonts w:ascii="FangSong" w:hAnsi="FangSong" w:eastAsia="FangSong"/>
          <w:b w:val="0"/>
          <w:color w:val="000000"/>
          <w:sz w:val="24"/>
        </w:rPr>
        <w:t>2026年5月22日</w:t>
      </w:r>
    </w:p>
    <w:sectPr w:rsidR="00FC693F" w:rsidRPr="0006063C" w:rsidSect="00034616">
      <w:headerReference w:type="default" r:id="rId9"/>
      <w:footerReference w:type="default" r:id="rId10"/>
      <w:pgSz w:w="11906" w:h="16838"/>
      <w:pgMar w:top="1701"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FangSong" w:hAnsi="FangSong" w:eastAsia="FangSong"/>
        <w:b w:val="0"/>
        <w:color w:val="000000"/>
        <w:sz w:val="24"/>
      </w:rPr>
      <w:t>浙江势行司法鉴定中心</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20" w:lineRule="exact"/>
    </w:pPr>
    <w:rPr>
      <w:rFonts w:ascii="FangSong" w:hAnsi="FangSong"/>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