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20" w:lineRule="exact" w:before="400" w:after="240"/>
        <w:jc w:val="center"/>
      </w:pPr>
      <w:r>
        <w:rPr>
          <w:rFonts w:ascii="SimSun" w:hAnsi="SimSun" w:eastAsia="SimSun"/>
          <w:b/>
          <w:color w:val="000000"/>
          <w:sz w:val="36"/>
        </w:rPr>
        <w:t>司法鉴定意见书</w:t>
      </w:r>
    </w:p>
    <w:p>
      <w:pPr>
        <w:spacing w:line="520" w:lineRule="exact" w:before="0" w:after="320"/>
        <w:jc w:val="center"/>
      </w:pPr>
      <w:r>
        <w:rPr>
          <w:rFonts w:ascii="SimSun" w:hAnsi="SimSun" w:eastAsia="SimSun"/>
          <w:b w:val="0"/>
          <w:color w:val="000000"/>
          <w:sz w:val="24"/>
        </w:rPr>
        <w:t>鑫鉴司鉴中心[2026]微量字第087号</w:t>
      </w:r>
    </w:p>
    <w:p>
      <w:pPr>
        <w:spacing w:line="520" w:lineRule="exact" w:before="360" w:after="120"/>
      </w:pPr>
      <w:r>
        <w:rPr>
          <w:rFonts w:ascii="SimHei" w:hAnsi="SimHei" w:eastAsia="SimHei"/>
          <w:b/>
          <w:color w:val="000000"/>
          <w:sz w:val="28"/>
        </w:rPr>
        <w:t>一、基本情况</w:t>
      </w:r>
    </w:p>
    <w:p>
      <w:pPr>
        <w:spacing w:line="520" w:lineRule="exact" w:before="0" w:after="0"/>
        <w:ind w:firstLine="480"/>
      </w:pPr>
      <w:r>
        <w:rPr>
          <w:rFonts w:ascii="FangSong" w:hAnsi="FangSong" w:eastAsia="FangSong"/>
          <w:b w:val="0"/>
          <w:color w:val="000000"/>
          <w:sz w:val="24"/>
        </w:rPr>
        <w:t>委托人：深圳市公安局交通警察支队事故处理大队</w:t>
      </w:r>
    </w:p>
    <w:p>
      <w:pPr>
        <w:spacing w:line="520" w:lineRule="exact" w:before="0" w:after="0"/>
        <w:ind w:firstLine="480"/>
      </w:pPr>
      <w:r>
        <w:rPr>
          <w:rFonts w:ascii="FangSong" w:hAnsi="FangSong" w:eastAsia="FangSong"/>
          <w:b w:val="0"/>
          <w:color w:val="000000"/>
          <w:sz w:val="24"/>
        </w:rPr>
        <w:t>委托案号：深公交认字〔2026〕第0412号</w:t>
      </w:r>
    </w:p>
    <w:p>
      <w:pPr>
        <w:spacing w:line="520" w:lineRule="exact" w:before="0" w:after="0"/>
        <w:ind w:firstLine="480"/>
      </w:pPr>
      <w:r>
        <w:rPr>
          <w:rFonts w:ascii="FangSong" w:hAnsi="FangSong" w:eastAsia="FangSong"/>
          <w:b w:val="0"/>
          <w:color w:val="000000"/>
          <w:sz w:val="24"/>
        </w:rPr>
        <w:t>鉴定事项：对交通事故现场提取的疑似肇事车辆前保险杠脱落碎片进行微量物证鉴定，判断其是否与送检样本车辆前保险杠材质一致</w:t>
      </w:r>
    </w:p>
    <w:p>
      <w:pPr>
        <w:spacing w:line="520" w:lineRule="exact" w:before="0" w:after="0"/>
        <w:ind w:firstLine="480"/>
      </w:pPr>
      <w:r>
        <w:rPr>
          <w:rFonts w:ascii="FangSong" w:hAnsi="FangSong" w:eastAsia="FangSong"/>
          <w:b w:val="0"/>
          <w:color w:val="000000"/>
          <w:sz w:val="24"/>
        </w:rPr>
        <w:t>受理日期：2026年4月15日</w:t>
      </w:r>
    </w:p>
    <w:p>
      <w:pPr>
        <w:spacing w:line="520" w:lineRule="exact" w:before="0" w:after="0"/>
        <w:ind w:firstLine="480"/>
      </w:pPr>
      <w:r>
        <w:rPr>
          <w:rFonts w:ascii="FangSong" w:hAnsi="FangSong" w:eastAsia="FangSong"/>
          <w:b w:val="0"/>
          <w:color w:val="000000"/>
          <w:sz w:val="24"/>
        </w:rPr>
        <w:t>鉴定完成日期：2026年4月28日</w:t>
      </w:r>
    </w:p>
    <w:p>
      <w:pPr>
        <w:spacing w:line="520" w:lineRule="exact" w:before="0" w:after="0"/>
        <w:ind w:firstLine="480"/>
      </w:pPr>
      <w:r>
        <w:rPr>
          <w:rFonts w:ascii="FangSong" w:hAnsi="FangSong" w:eastAsia="FangSong"/>
          <w:b w:val="0"/>
          <w:color w:val="000000"/>
          <w:sz w:val="24"/>
        </w:rPr>
        <w:t>鉴定类别：微量物证鉴定</w:t>
      </w:r>
    </w:p>
    <w:p>
      <w:pPr>
        <w:spacing w:line="520" w:lineRule="exact" w:before="360" w:after="120"/>
      </w:pPr>
      <w:r>
        <w:rPr>
          <w:rFonts w:ascii="SimHei" w:hAnsi="SimHei" w:eastAsia="SimHei"/>
          <w:b/>
          <w:color w:val="000000"/>
          <w:sz w:val="28"/>
        </w:rPr>
        <w:t>二、检材</w:t>
      </w:r>
    </w:p>
    <w:p>
      <w:pPr>
        <w:spacing w:line="520" w:lineRule="exact" w:before="0" w:after="0"/>
        <w:ind w:firstLine="480"/>
      </w:pPr>
      <w:r>
        <w:rPr>
          <w:rFonts w:ascii="FangSong" w:hAnsi="FangSong" w:eastAsia="FangSong"/>
          <w:b w:val="0"/>
          <w:color w:val="000000"/>
          <w:sz w:val="24"/>
        </w:rPr>
        <w:t>1. 检材1：交通事故现场提取的灰色塑料碎片一块，呈不规则三角形，长3.8cm、宽2.5cm、厚0.28cm，表面有刮擦痕及局部黑色附着物，边缘可见断裂新鲜面，封装于洁净铝箔纸内，编号MT-2026-001</w:t>
      </w:r>
    </w:p>
    <w:p>
      <w:pPr>
        <w:spacing w:line="520" w:lineRule="exact" w:before="0" w:after="0"/>
        <w:ind w:firstLine="480"/>
      </w:pPr>
      <w:r>
        <w:rPr>
          <w:rFonts w:ascii="FangSong" w:hAnsi="FangSong" w:eastAsia="FangSong"/>
          <w:b w:val="0"/>
          <w:color w:val="000000"/>
          <w:sz w:val="24"/>
        </w:rPr>
        <w:t>2. 样本1：鑫达物流有限公司名下重型厢式货车（车牌号：粤B6D9X2）前保险杠右侧拆卸下的同部位灰色塑料部件一块，尺寸约12.0cm×5.2cm×0.30cm，表面无明显污染，边缘完整，封装于防静电密封袋内，编号YT-2026-001</w:t>
      </w:r>
    </w:p>
    <w:p>
      <w:pPr>
        <w:spacing w:line="520" w:lineRule="exact" w:before="360" w:after="120"/>
      </w:pPr>
      <w:r>
        <w:rPr>
          <w:rFonts w:ascii="SimHei" w:hAnsi="SimHei" w:eastAsia="SimHei"/>
          <w:b/>
          <w:color w:val="000000"/>
          <w:sz w:val="28"/>
        </w:rPr>
        <w:t>三、检验过程</w:t>
      </w:r>
    </w:p>
    <w:p>
      <w:pPr>
        <w:spacing w:line="520" w:lineRule="exact" w:before="0" w:after="0"/>
        <w:ind w:firstLine="480"/>
      </w:pPr>
      <w:r>
        <w:rPr>
          <w:rFonts w:ascii="FangSong" w:hAnsi="FangSong" w:eastAsia="FangSong"/>
          <w:b w:val="0"/>
          <w:color w:val="000000"/>
          <w:sz w:val="24"/>
        </w:rPr>
        <w:t>一、检材接收与保管</w:t>
      </w:r>
    </w:p>
    <w:p>
      <w:pPr>
        <w:spacing w:line="520" w:lineRule="exact" w:before="0" w:after="0"/>
        <w:ind w:firstLine="480"/>
      </w:pPr>
      <w:r>
        <w:rPr>
          <w:rFonts w:ascii="FangSong" w:hAnsi="FangSong" w:eastAsia="FangSong"/>
          <w:b w:val="0"/>
          <w:color w:val="000000"/>
          <w:sz w:val="24"/>
        </w:rPr>
        <w:t>2026年4月15日接收委托方送检的检材MT-2026-001及样本YT-2026-001。两件物品均经核对封签完好、编号清晰，接收时检材MT-2026-001断裂面新鲜、无二次污染；样本YT-2026-001表面清洁、无老化裂纹。检材与样本分别独立存放于恒温恒湿（23±2℃，50±5%RH）物证保管柜中。</w:t>
      </w:r>
    </w:p>
    <w:p>
      <w:pPr>
        <w:spacing w:line="520" w:lineRule="exact" w:before="0" w:after="0"/>
        <w:ind w:firstLine="480"/>
      </w:pPr>
      <w:r>
        <w:rPr>
          <w:rFonts w:ascii="FangSong" w:hAnsi="FangSong" w:eastAsia="FangSong"/>
          <w:b w:val="0"/>
          <w:color w:val="000000"/>
          <w:sz w:val="24"/>
        </w:rPr>
        <w:t>二、外观检验</w:t>
      </w:r>
    </w:p>
    <w:p>
      <w:pPr>
        <w:spacing w:line="520" w:lineRule="exact" w:before="0" w:after="0"/>
        <w:ind w:firstLine="480"/>
      </w:pPr>
      <w:r>
        <w:rPr>
          <w:rFonts w:ascii="FangSong" w:hAnsi="FangSong" w:eastAsia="FangSong"/>
          <w:b w:val="0"/>
          <w:color w:val="000000"/>
          <w:sz w:val="24"/>
        </w:rPr>
        <w:t>使用Leica M205C体视显微镜（放大倍数10×–50×）观察：检材MT-2026-001与样本YT-2026-001均为灰度值L*≈62的浅灰偏蓝调工程塑料，表面光泽度相近（60°角光泽度分别为38.2GU与37.5GU），断口形貌均呈典型韧性撕裂特征，可见放射状条纹与剪切唇，微观形貌高度一致。</w:t>
      </w:r>
    </w:p>
    <w:p>
      <w:pPr>
        <w:spacing w:line="520" w:lineRule="exact" w:before="0" w:after="0"/>
        <w:ind w:firstLine="480"/>
      </w:pPr>
      <w:r>
        <w:rPr>
          <w:rFonts w:ascii="FangSong" w:hAnsi="FangSong" w:eastAsia="FangSong"/>
          <w:b w:val="0"/>
          <w:color w:val="000000"/>
          <w:sz w:val="24"/>
        </w:rPr>
        <w:t>三、傅里叶变换红外光谱分析（FTIR）</w:t>
      </w:r>
    </w:p>
    <w:p>
      <w:pPr>
        <w:spacing w:line="520" w:lineRule="exact" w:before="0" w:after="0"/>
        <w:ind w:firstLine="480"/>
      </w:pPr>
      <w:r>
        <w:rPr>
          <w:rFonts w:ascii="FangSong" w:hAnsi="FangSong" w:eastAsia="FangSong"/>
          <w:b w:val="0"/>
          <w:color w:val="000000"/>
          <w:sz w:val="24"/>
        </w:rPr>
        <w:t>采用PerkinElmer Spectrum Two FTIR光谱仪（配备ATR金刚石晶体附件），扫描范围4000–400 cm⁻¹，分辨率4 cm⁻¹，累计扫描32次。取检材MT-2026-001与样本YT-2026-001洁净断面直接压合检测。结果显示：二者在3295 cm⁻¹（N–H伸缩振动）、2924 cm⁻¹与2853 cm⁻¹（–CH₂–/–CH₃伸缩振动）、1712 cm⁻¹（C=O伸缩振动）、1540 cm⁻¹（N–H弯曲+ C–N伸缩耦合振动）、1242 cm⁻¹（C–O–C伸缩振动）等特征峰位置、相对强度及峰形完全吻合；相似度指数（Correlation Index）为0.992（&gt;0.980判定为高度一致），符合GA/T 1443-2017《法庭科学 微量物证的理化检验》第6.2.3条要求。</w:t>
      </w:r>
    </w:p>
    <w:p>
      <w:pPr>
        <w:spacing w:line="520" w:lineRule="exact" w:before="0" w:after="0"/>
        <w:ind w:firstLine="480"/>
      </w:pPr>
      <w:r>
        <w:rPr>
          <w:rFonts w:ascii="FangSong" w:hAnsi="FangSong" w:eastAsia="FangSong"/>
          <w:b w:val="0"/>
          <w:color w:val="000000"/>
          <w:sz w:val="24"/>
        </w:rPr>
        <w:t>四、扫描电子显微镜-能谱分析（SEM-EDS）</w:t>
      </w:r>
    </w:p>
    <w:p>
      <w:pPr>
        <w:spacing w:line="520" w:lineRule="exact" w:before="0" w:after="0"/>
        <w:ind w:firstLine="480"/>
      </w:pPr>
      <w:r>
        <w:rPr>
          <w:rFonts w:ascii="FangSong" w:hAnsi="FangSong" w:eastAsia="FangSong"/>
          <w:b w:val="0"/>
          <w:color w:val="000000"/>
          <w:sz w:val="24"/>
        </w:rPr>
        <w:t>采用ZEISS Sigma 300场发射扫描电镜（配备Bruker XFlash 6|60能谱仪），加速电压15 kV，工作距离8.5 mm。对检材与样本断口区域随机选取5个微区进行点分析及面扫描。结果显示：二者主量元素组成完全一致，均为C（68.3±1.2 wt%）、O（18.7±0.9 wt%）、N（7.5±0.4 wt%）、Si（3.2±0.3 wt%），并检出痕量Ca（0.8±0.1 wt%）与Al（0.5±0.1 wt%）；各元素分布图（Elemental Mapping）空间形态高度重合，未见异常杂质富集区；EDS谱图叠加比对显示峰位偏移≤0.3 eV，符合GA/T 1443-2017第7.3.2条关于元素组成一致性判定标准。</w:t>
      </w:r>
    </w:p>
    <w:p>
      <w:pPr>
        <w:spacing w:line="520" w:lineRule="exact" w:before="0" w:after="0"/>
        <w:ind w:firstLine="480"/>
      </w:pPr>
      <w:r>
        <w:rPr>
          <w:rFonts w:ascii="FangSong" w:hAnsi="FangSong" w:eastAsia="FangSong"/>
          <w:b w:val="0"/>
          <w:color w:val="000000"/>
          <w:sz w:val="24"/>
        </w:rPr>
        <w:t>五、热重分析（TGA）</w:t>
      </w:r>
    </w:p>
    <w:p>
      <w:pPr>
        <w:spacing w:line="520" w:lineRule="exact" w:before="0" w:after="0"/>
        <w:ind w:firstLine="480"/>
      </w:pPr>
      <w:r>
        <w:rPr>
          <w:rFonts w:ascii="FangSong" w:hAnsi="FangSong" w:eastAsia="FangSong"/>
          <w:b w:val="0"/>
          <w:color w:val="000000"/>
          <w:sz w:val="24"/>
        </w:rPr>
        <w:t>采用NETZSCH STA 449 F5同步热分析仪，在氮气气氛（50 mL/min）下以10 ℃/min升温速率由30 ℃升至600 ℃。检材MT-2026-001与样本YT-2026-001均呈现三阶段失重：第一阶段（280–340 ℃）失重率12.4±0.3%，对应聚碳酸酯（PC）主链降解；第二阶段（340–420 ℃）失重率58.6±0.5%，对应聚对苯二甲酸乙二醇酯（PET）组分分解；第三阶段（420–520 ℃）残留炭黑骨架，残余量22.1±0.4%。两者的起始分解温度（Tₒₙₛₑₜ）、最大失重速率温度（Tₘₐₓ）及残余质量分数差异均小于±0.8%，符合GA/T 1443-2017第8.4.1条关于热行为一致性判定要求。</w:t>
      </w:r>
    </w:p>
    <w:p>
      <w:pPr>
        <w:spacing w:line="520" w:lineRule="exact" w:before="360" w:after="120"/>
      </w:pPr>
      <w:r>
        <w:rPr>
          <w:rFonts w:ascii="SimHei" w:hAnsi="SimHei" w:eastAsia="SimHei"/>
          <w:b/>
          <w:color w:val="000000"/>
          <w:sz w:val="28"/>
        </w:rPr>
        <w:t>四、分析说明</w:t>
      </w:r>
    </w:p>
    <w:p>
      <w:pPr>
        <w:spacing w:line="520" w:lineRule="exact" w:before="0" w:after="0"/>
        <w:ind w:firstLine="480"/>
      </w:pPr>
      <w:r>
        <w:rPr>
          <w:rFonts w:ascii="FangSong" w:hAnsi="FangSong" w:eastAsia="FangSong"/>
          <w:b w:val="0"/>
          <w:color w:val="000000"/>
          <w:sz w:val="24"/>
        </w:rPr>
        <w:t>根据检验结果：</w:t>
      </w:r>
    </w:p>
    <w:p>
      <w:pPr>
        <w:spacing w:line="520" w:lineRule="exact" w:before="0" w:after="0"/>
        <w:ind w:firstLine="480"/>
      </w:pPr>
      <w:r>
        <w:rPr>
          <w:rFonts w:ascii="FangSong" w:hAnsi="FangSong" w:eastAsia="FangSong"/>
          <w:b w:val="0"/>
          <w:color w:val="000000"/>
          <w:sz w:val="24"/>
        </w:rPr>
        <w:t>1. 外观检验显示，检材MT-2026-001与样本YT-2026-001在宏观颜色、光泽度、断口形貌及微观断裂特征等方面高度一致，符合同一类改性工程塑料的物理表现；</w:t>
      </w:r>
    </w:p>
    <w:p>
      <w:pPr>
        <w:spacing w:line="520" w:lineRule="exact" w:before="0" w:after="0"/>
        <w:ind w:firstLine="480"/>
      </w:pPr>
      <w:r>
        <w:rPr>
          <w:rFonts w:ascii="FangSong" w:hAnsi="FangSong" w:eastAsia="FangSong"/>
          <w:b w:val="0"/>
          <w:color w:val="000000"/>
          <w:sz w:val="24"/>
        </w:rPr>
        <w:t>2. FTIR分析表明，二者红外吸收光谱在关键官能团振动峰的位置、强度及峰形上完全吻合，相似度指数达0.992，证实其高分子主链结构与共混组分种类相同，均为聚碳酸酯（PC）/聚对苯二甲酸乙二醇酯（PET）共混体系，并含硅酮类相容剂及少量酰胺类增韧剂；</w:t>
      </w:r>
    </w:p>
    <w:p>
      <w:pPr>
        <w:spacing w:line="520" w:lineRule="exact" w:before="0" w:after="0"/>
        <w:ind w:firstLine="480"/>
      </w:pPr>
      <w:r>
        <w:rPr>
          <w:rFonts w:ascii="FangSong" w:hAnsi="FangSong" w:eastAsia="FangSong"/>
          <w:b w:val="0"/>
          <w:color w:val="000000"/>
          <w:sz w:val="24"/>
        </w:rPr>
        <w:t>3. SEM-EDS分析证实，二者在元素种类、含量范围及空间分布上完全一致，主量元素C/O/N/Si比例匹配，痕量元素Ca/Al来源稳定，排除不同批次填料或色母差异；</w:t>
      </w:r>
    </w:p>
    <w:p>
      <w:pPr>
        <w:spacing w:line="520" w:lineRule="exact" w:before="0" w:after="0"/>
        <w:ind w:firstLine="480"/>
      </w:pPr>
      <w:r>
        <w:rPr>
          <w:rFonts w:ascii="FangSong" w:hAnsi="FangSong" w:eastAsia="FangSong"/>
          <w:b w:val="0"/>
          <w:color w:val="000000"/>
          <w:sz w:val="24"/>
        </w:rPr>
        <w:t>4. TGA曲线显示，二者热分解行为三阶段特征参数（Tₒₙₛₑₜ、Tₘₐₓ、残余量）差异均小于技术标准允许限值（±1.0%），表明其聚合物配比、添加剂含量及热稳定剂体系具有高度一致性；</w:t>
      </w:r>
    </w:p>
    <w:p>
      <w:pPr>
        <w:spacing w:line="520" w:lineRule="exact" w:before="0" w:after="0"/>
        <w:ind w:firstLine="480"/>
      </w:pPr>
      <w:r>
        <w:rPr>
          <w:rFonts w:ascii="FangSong" w:hAnsi="FangSong" w:eastAsia="FangSong"/>
          <w:b w:val="0"/>
          <w:color w:val="000000"/>
          <w:sz w:val="24"/>
        </w:rPr>
        <w:t>综上，依据GA/T 1443-2017《法庭科学 微量物证的理化检验》第5.1条（综合判据原则）、第6.2.3条（光谱相似性判定）、第7.3.2条（元素组成判定）及第8.4.1条（热分析判定），检材MT-2026-001与样本YT-2026-001在物理形貌、有机官能团结构、无机元素组成及热稳定性等四个维度均达到‘高度一致’标准，可认定二者材质成分相同，具有同源性。该结论不受检材尺寸较小或表面附着物影响，因所有检验均取自洁净断口本体，且附着物经SEM-EDS确认为环境尘土（含Fe、Al、Si、O等典型土壤元素），未干扰主体成分分析。</w:t>
      </w:r>
    </w:p>
    <w:p>
      <w:pPr>
        <w:spacing w:line="520" w:lineRule="exact" w:before="360" w:after="120"/>
      </w:pPr>
      <w:r>
        <w:rPr>
          <w:rFonts w:ascii="SimHei" w:hAnsi="SimHei" w:eastAsia="SimHei"/>
          <w:b/>
          <w:color w:val="000000"/>
          <w:sz w:val="28"/>
        </w:rPr>
        <w:t>五、鉴定意见</w:t>
      </w:r>
    </w:p>
    <w:p>
      <w:pPr>
        <w:spacing w:line="520" w:lineRule="exact" w:before="0" w:after="0"/>
        <w:ind w:firstLine="480"/>
      </w:pPr>
      <w:r>
        <w:rPr>
          <w:rFonts w:ascii="FangSong" w:hAnsi="FangSong" w:eastAsia="FangSong"/>
          <w:b w:val="0"/>
          <w:color w:val="000000"/>
          <w:sz w:val="24"/>
        </w:rPr>
        <w:t>送检的交通事故现场提取的灰色塑料碎片（编号MT-2026-001）与鑫达物流有限公司名下重型厢式货车（粤B6D9X2）前保险杠右侧拆卸部件（编号YT-2026-001）材质成分一致，具有同源性。</w:t>
      </w:r>
    </w:p>
    <w:p>
      <w:pPr>
        <w:spacing w:line="520" w:lineRule="exact" w:before="360" w:after="120"/>
      </w:pPr>
      <w:r>
        <w:rPr>
          <w:rFonts w:ascii="SimHei" w:hAnsi="SimHei" w:eastAsia="SimHei"/>
          <w:b/>
          <w:color w:val="000000"/>
          <w:sz w:val="28"/>
        </w:rPr>
        <w:t>六、附件</w:t>
      </w:r>
    </w:p>
    <w:p>
      <w:pPr>
        <w:spacing w:line="520" w:lineRule="exact" w:before="0" w:after="0"/>
        <w:ind w:firstLine="480"/>
      </w:pPr>
      <w:r>
        <w:rPr>
          <w:rFonts w:ascii="FangSong" w:hAnsi="FangSong" w:eastAsia="FangSong"/>
          <w:b w:val="0"/>
          <w:color w:val="000000"/>
          <w:sz w:val="24"/>
        </w:rPr>
        <w:t>1. 附件1：检材与样本外观对比照片（共4张）</w:t>
      </w:r>
    </w:p>
    <w:p>
      <w:pPr>
        <w:spacing w:line="520" w:lineRule="exact" w:before="0" w:after="0"/>
        <w:ind w:firstLine="480"/>
      </w:pPr>
      <w:r>
        <w:rPr>
          <w:rFonts w:ascii="FangSong" w:hAnsi="FangSong" w:eastAsia="FangSong"/>
          <w:b w:val="0"/>
          <w:color w:val="000000"/>
          <w:sz w:val="24"/>
        </w:rPr>
        <w:t>2. 附件2：FTIR光谱叠加图（含标准品对照，共1份）</w:t>
      </w:r>
    </w:p>
    <w:p>
      <w:pPr>
        <w:spacing w:line="520" w:lineRule="exact" w:before="0" w:after="0"/>
        <w:ind w:firstLine="480"/>
      </w:pPr>
      <w:r>
        <w:rPr>
          <w:rFonts w:ascii="FangSong" w:hAnsi="FangSong" w:eastAsia="FangSong"/>
          <w:b w:val="0"/>
          <w:color w:val="000000"/>
          <w:sz w:val="24"/>
        </w:rPr>
        <w:t>3. 附件3：SEM-EDS元素面分布图及点分析谱图（共6张）</w:t>
      </w:r>
    </w:p>
    <w:p>
      <w:pPr>
        <w:spacing w:line="520" w:lineRule="exact" w:before="0" w:after="0"/>
        <w:ind w:firstLine="480"/>
      </w:pPr>
      <w:r>
        <w:rPr>
          <w:rFonts w:ascii="FangSong" w:hAnsi="FangSong" w:eastAsia="FangSong"/>
          <w:b w:val="0"/>
          <w:color w:val="000000"/>
          <w:sz w:val="24"/>
        </w:rPr>
        <w:t>4. 附件4：TGA热重-微分热重（TG-DTG）曲线叠加图（共1份）</w:t>
      </w:r>
    </w:p>
    <w:p>
      <w:pPr>
        <w:spacing w:line="520" w:lineRule="exact" w:before="600" w:after="0"/>
      </w:pPr>
    </w:p>
    <w:p>
      <w:pPr>
        <w:spacing w:line="520" w:lineRule="exact" w:before="0" w:after="0"/>
        <w:jc w:val="right"/>
      </w:pPr>
      <w:r>
        <w:rPr>
          <w:rFonts w:ascii="FangSong" w:hAnsi="FangSong" w:eastAsia="FangSong"/>
          <w:b w:val="0"/>
          <w:color w:val="000000"/>
          <w:sz w:val="24"/>
        </w:rPr>
        <w:t>司法鉴定人：周某 司法鉴定人执业证号：440100000000001234</w:t>
      </w:r>
    </w:p>
    <w:p>
      <w:pPr>
        <w:spacing w:line="520" w:lineRule="exact" w:before="0" w:after="0"/>
        <w:jc w:val="right"/>
      </w:pPr>
      <w:r>
        <w:rPr>
          <w:rFonts w:ascii="FangSong" w:hAnsi="FangSong" w:eastAsia="FangSong"/>
          <w:b w:val="0"/>
          <w:color w:val="000000"/>
          <w:sz w:val="24"/>
        </w:rPr>
        <w:t>复核人：吴某 司法鉴定人执业证号：440100000000005678</w:t>
      </w:r>
    </w:p>
    <w:p>
      <w:pPr>
        <w:spacing w:line="520" w:lineRule="exact" w:before="0" w:after="0"/>
        <w:jc w:val="right"/>
      </w:pPr>
      <w:r>
        <w:rPr>
          <w:rFonts w:ascii="FangSong" w:hAnsi="FangSong" w:eastAsia="FangSong"/>
          <w:b w:val="0"/>
          <w:color w:val="000000"/>
          <w:sz w:val="24"/>
        </w:rPr>
        <w:t>鑫鉴司法鉴定中心（微量物证鉴定资质证书号：粤司鉴登字〔2020〕0156号）</w:t>
      </w:r>
    </w:p>
    <w:p>
      <w:pPr>
        <w:spacing w:line="520" w:lineRule="exact" w:before="0" w:after="0"/>
        <w:jc w:val="right"/>
      </w:pPr>
      <w:r>
        <w:rPr>
          <w:rFonts w:ascii="FangSong" w:hAnsi="FangSong" w:eastAsia="FangSong"/>
          <w:b w:val="0"/>
          <w:color w:val="000000"/>
          <w:sz w:val="24"/>
        </w:rPr>
        <w:t>2026年4月28日</w:t>
      </w:r>
    </w:p>
    <w:sectPr w:rsidR="00FC693F" w:rsidRPr="0006063C" w:rsidSect="00034616">
      <w:headerReference w:type="default" r:id="rId9"/>
      <w:footerReference w:type="default" r:id="rId10"/>
      <w:pgSz w:w="11906" w:h="16838"/>
      <w:pgMar w:top="1701"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FangSong" w:hAnsi="FangSong" w:eastAsia="FangSong"/>
        <w:b w:val="0"/>
        <w:color w:val="000000"/>
        <w:sz w:val="24"/>
      </w:rPr>
      <w:t>鑫鉴司法鉴定中心（微量物证鉴定资质证书号：粤司鉴登字〔2020〕0156号）</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20" w:lineRule="exact"/>
    </w:pPr>
    <w:rPr>
      <w:rFonts w:ascii="FangSong" w:hAnsi="FangSong"/>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