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 w:before="1600" w:after="0"/>
      </w:pPr>
    </w:p>
    <w:p>
      <w:pPr>
        <w:spacing w:line="560" w:lineRule="exact" w:before="0" w:after="800"/>
        <w:jc w:val="center"/>
      </w:pPr>
      <w:r>
        <w:rPr>
          <w:rFonts w:ascii="Times New Roman" w:hAnsi="Times New Roman" w:eastAsia="SimHei"/>
          <w:b/>
          <w:color w:val="000000"/>
          <w:sz w:val="44"/>
        </w:rPr>
        <w:t>杭州市余杭区日处理1000吨生活垃圾焚烧发电项目可行性研究报告</w:t>
      </w:r>
    </w:p>
    <w:p>
      <w:pPr>
        <w:spacing w:line="560" w:lineRule="exact" w:before="0" w:after="80"/>
      </w:pPr>
      <w:r>
        <w:rPr>
          <w:rFonts w:ascii="Times New Roman" w:hAnsi="Times New Roman" w:eastAsia="FangSong"/>
          <w:b w:val="0"/>
          <w:color w:val="000000"/>
          <w:sz w:val="32"/>
        </w:rPr>
        <w:t>项目名称：杭州市余杭区日处理1000吨生活垃圾焚烧发电项目</w:t>
      </w:r>
    </w:p>
    <w:p>
      <w:pPr>
        <w:spacing w:line="560" w:lineRule="exact" w:before="0" w:after="80"/>
      </w:pPr>
      <w:r>
        <w:rPr>
          <w:rFonts w:ascii="Times New Roman" w:hAnsi="Times New Roman" w:eastAsia="FangSong"/>
          <w:b w:val="0"/>
          <w:color w:val="000000"/>
          <w:sz w:val="32"/>
        </w:rPr>
        <w:t>项目选址：浙江省杭州市余杭区{{具体街道/镇}}</w:t>
      </w:r>
    </w:p>
    <w:p>
      <w:pPr>
        <w:spacing w:line="560" w:lineRule="exact" w:before="0" w:after="80"/>
      </w:pPr>
      <w:r>
        <w:rPr>
          <w:rFonts w:ascii="Times New Roman" w:hAnsi="Times New Roman" w:eastAsia="FangSong"/>
          <w:b w:val="0"/>
          <w:color w:val="000000"/>
          <w:sz w:val="32"/>
        </w:rPr>
        <w:t>投资主体：{{项目投资主体全称}}</w:t>
      </w:r>
    </w:p>
    <w:p>
      <w:pPr>
        <w:spacing w:line="560" w:lineRule="exact" w:before="0" w:after="80"/>
      </w:pPr>
      <w:r>
        <w:rPr>
          <w:rFonts w:ascii="Times New Roman" w:hAnsi="Times New Roman" w:eastAsia="FangSong"/>
          <w:b w:val="0"/>
          <w:color w:val="000000"/>
          <w:sz w:val="32"/>
        </w:rPr>
        <w:t>所属行业：D4419 其他电力生产（固废治理 C7723）</w:t>
      </w:r>
    </w:p>
    <w:p>
      <w:pPr>
        <w:spacing w:line="560" w:lineRule="exact" w:before="0" w:after="80"/>
      </w:pPr>
      <w:r>
        <w:rPr>
          <w:rFonts w:ascii="Times New Roman" w:hAnsi="Times New Roman" w:eastAsia="FangSong"/>
          <w:b w:val="0"/>
          <w:color w:val="000000"/>
          <w:sz w:val="32"/>
        </w:rPr>
        <w:t>项目总投资（万元）：65000.00</w:t>
      </w:r>
    </w:p>
    <w:p>
      <w:pPr>
        <w:spacing w:line="560" w:lineRule="exact" w:before="0" w:after="80"/>
      </w:pPr>
      <w:r>
        <w:rPr>
          <w:rFonts w:ascii="Times New Roman" w:hAnsi="Times New Roman" w:eastAsia="FangSong"/>
          <w:b w:val="0"/>
          <w:color w:val="000000"/>
          <w:sz w:val="32"/>
        </w:rPr>
        <w:t>建设工期：24个月</w:t>
      </w:r>
    </w:p>
    <w:p>
      <w:pPr>
        <w:spacing w:line="560" w:lineRule="exact" w:before="0" w:after="80"/>
      </w:pPr>
      <w:r>
        <w:rPr>
          <w:rFonts w:ascii="Times New Roman" w:hAnsi="Times New Roman" w:eastAsia="FangSong"/>
          <w:b w:val="0"/>
          <w:color w:val="000000"/>
          <w:sz w:val="32"/>
        </w:rPr>
        <w:t>项目类型：新建</w:t>
      </w:r>
    </w:p>
    <w:p>
      <w:r>
        <w:br w:type="page"/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第一章 项目概述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第一节 项目背景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随着城市化进程的加速，生活垃圾产生量急剧增加，“垃圾围城”已成为制约城市可持续发展的瓶颈。为响应国家《“十四五”城镇生活垃圾分类和处理设施发展规划》及《关于进一步加强塑料污染治理的意见》，实现生活垃圾的减量化、无害化、资源化处置，{{投资主体全称}}拟在杭州市余杭区建设日处理1000吨生活垃圾焚烧发电项目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第二节 编制依据与原则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本报告依据《中华人民共和国固体废物污染环境防治法》、《生活垃圾焚烧污染控制标准》（GB 18485-2014）、《政府投资项目可行性研究报告编写通用大纲》（发改投资规〔2023〕304号）等法律法规及技术规范编制。遵循技术先进、环保达标、经济合理、安全可靠的原则，采用成熟的机械炉排炉焚烧技术，确保污染物排放优于国家标准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第三节 主要结论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项目建设规模为日处理生活垃圾1000吨，配置2×500t/d机械炉排炉及1×18MW汽轮发电机组。项目总投资6.5亿元，财务内部收益率（税后）高于行业基准，具备较强的抗风险能力。经综合论证，本项目在技术、经济、环境和社会效益方面均具有可行性。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第二章 市场分析与需求预测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第一节 垃圾产生现状与预测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根据杭州市及余杭区统计年鉴数据，余杭区常住人口持续增长，人均生活垃圾产生量约为1.2kg/人·天。预计至项目投产年，余杭区及周边区域日均生活垃圾清运量将突破1200吨。目前区域内现有填埋场库容趋于饱和，急需建设现代化焚烧设施以填补处理缺口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第二节 市场竞争与入厂保障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本项目服务范围主要为余杭区全域，并辐射周边{{相邻区县}}部分区域。根据《杭州市生活垃圾管理条例》，政府将通过特许经营或购买服务方式保障入厂垃圾量。项目设计处理能力1000吨/日，预留10%-20%的超负荷运行能力，可应对节假日等垃圾产生高峰。通过与当地环卫部门签订长期供料协议，确保原料供应稳定，满足连续运行需求。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第三章 建设规模与产品方案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第一节 建设规模论证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综合考虑余杭区垃圾增长趋势、运输半径及规模经济效益，确定本项目建设规模为日处理生活垃圾1000吨。采用“2×500t/d”模块化设计，既保证了单台设备的成熟可靠性，又提供了运行调度的灵活性。当一台炉检修时，另一台仍可维持50%的处理能力，保障城市环卫系统的安全底线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第二节 产品方案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1. 电力产品：配套建设1×18MW凝汽式汽轮发电机组，年上网电量约{{年上网电量}}万kWh，并入国家电网。</w:t>
        <w:br/>
        <w:t>2. 热能利用：预留工业蒸汽接口，视周边热负荷需求开展热电联产改造。</w:t>
        <w:br/>
        <w:t>3. 副产物：炉渣经综合利用制成建筑材料；飞灰经螯合固化稳定化处理后送填埋场分区填埋。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第四章 场（厂）址选择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第一节 场址现状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项目选址位于杭州市余杭区{{具体地点}}，占地面积约{{占地面积}}亩。该地块地形平坦，地质条件良好，抗震设防烈度符合规范要求。场地远离居民集中居住区、水源地保护区及生态红线区域，符合《生活垃圾焚烧处理工程技术规范》（CJJ 90-2009）关于选址的要求。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第二节 建设条件分析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1. 交通运输：厂区紧邻{{主要道路名称}}，交通便利，便于垃圾运输车辆进出及设备大件运输。</w:t>
        <w:br/>
        <w:t>2. 公用工程：厂区附近已有110kV变电站及市政供水管网，接入条件优越。</w:t>
        <w:br/>
        <w:t>3. 环境影响：主导风向下风向无敏感目标，大气扩散条件良好，有利于污染物稀释扩散。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第五章 技术方案、设备方案和工程方案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第一节 技术方案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焚烧工艺：采用国际成熟的机械炉排炉焚烧技术，适应中国垃圾高水分、低热值的特点。燃烧控制采用自动燃烧控制系统（ACC），确保燃烧稳定。</w:t>
        <w:br/>
        <w:t>余热锅炉：采用中温次高压参数（4.0MPa, 400℃），提高热效率的同时减轻高温腐蚀。</w:t>
        <w:br/>
        <w:t>烟气净化：采用“SNCR脱硝 + 半干法脱酸 + 干法喷射 + 活性炭吸附 + 布袋除尘”组合工艺，确保二噁英、酸性气体及颗粒物排放指标优于欧盟2010标准。</w:t>
        <w:br/>
        <w:t>渗滤液处理：采用“预处理 + UASB厌氧 + MBR生化 + NF纳滤 + RO反渗透”工艺，出水达到《城市污水再生利用 工业用水水质》标准后全部回用，实现零排放。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第二节 主要设备方案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核心设备包括2台500t/d机械炉排炉、2台中温次高压余热锅炉、1台18MW凝汽式汽轮机、1台18MW发电机。辅助设备包括桥式抓斗起重机、给水泵、风机、烟气净化系统设备等。关键设备拟选用国内一线品牌或进口合资品牌，确保长周期稳定运行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第三节 工程方案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主体工程包括主厂房、烟囱、中控楼；辅助工程包括渗滤液处理站、飞灰固化车间、油库、氨水罐区；公用工程包括给排水系统、电气系统、消防系统。建筑结构采用钢筋混凝土框架结构，抗震等级按当地要求设防。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第六章 原材料及燃料动力供应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第一节 原材料供应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主要原材料为生活垃圾，由余杭区环卫部门统一清运至厂区，无需额外采购成本，且享有垃圾处理补贴费。辅助材料包括石灰、活性炭、尿素（SNCR脱硝剂）、螯合剂等，均在杭州及周边地区采购，供应渠道稳定，运输距离短，成本低廉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第二节 燃料动力供应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项目启动及助燃使用轻柴油，年用量约{{柴油用量}}吨，由当地石油公司供应。生产用水取自市政自来水管网或附近河道取水（需办理取水许可证），年用水量约{{用水量}}万吨。用电方面，启动阶段由电网供电，正常运行后自发自用，余电上网。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第七章 节能、节水措施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第一节 节能措施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1. 工艺节能：选用高效率机械炉排炉和中温次高压余热锅炉，提高热能转化效率。</w:t>
        <w:br/>
        <w:t>2. 电气节能：选用高效节能变压器，电机采用变频调速技术，降低无功损耗。</w:t>
        <w:br/>
        <w:t>3. 管理节能：建立能源管理中心，实时监测水、电、油消耗，优化运行参数。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第二节 节水措施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1. 分质供水：生产用水优先使用处理后的渗滤液出水及循环冷却水排污水。</w:t>
        <w:br/>
        <w:t>2. 循环利用：循环冷却水系统采用闭式循环，提高浓缩倍数，减少补水量。</w:t>
        <w:br/>
        <w:t>3. 计量管理：安装三级计量仪表，严格考核各车间用水指标，杜绝跑冒滴漏。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第八章 环境影响分析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第一节 环境现状与评价等级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项目所在地环境空气质量现状良好，地表水水质符合功能区划要求。根据《建设项目环境影响评价分类管理名录》，本项目属于生活垃圾焚烧发电，需编制环境影响报告书。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第二节 主要污染源及治理措施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1. 废气：焚烧烟气经组合工艺处理后，通过80米高烟囱排放。在线监测系统与环保部门联网，实时监控颗粒物、SO2、NOx、HCl、CO及二噁英浓度。</w:t>
        <w:br/>
        <w:t>2. 废水：渗滤液及生活污水经处理站处理后全部回用于循环冷却补水或绿化，无外排废水。</w:t>
        <w:br/>
        <w:t>3. 固废：炉渣外售综合利用；飞灰经螯合固化检测合格后进入专用填埋区；污泥掺入焚烧炉焚烧。</w:t>
        <w:br/>
        <w:t>4. 噪声：对高噪声设备采取隔声、消声、减震措施，厂界噪声达标。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第三节 环境影响评价结论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在严格落实各项环保措施的前提下，本项目污染物排放符合国家及地方标准，对周围环境影响可控，从环保角度分析可行。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第九章 劳动安全卫生与消防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第一节 危害因素分析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主要危险有害因素包括：高温高压蒸汽泄漏、电气设备触电、垃圾发酵产生的易燃易爆气体（甲烷、硫化氢）、化学品腐蚀及机械伤害等。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第二节 安全防护措施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1. 工艺安全：设置DCS集散控制系统和SIS安全仪表系统，对锅炉压力、温度、液位等进行联锁保护。</w:t>
        <w:br/>
        <w:t>2. 职业卫生：配备防毒面具、防护服等个人防护用品，定期对员工进行职业健康体检。</w:t>
        <w:br/>
        <w:t>3. 气体检测：在垃圾坑、渗滤液处理区设置可燃气体及有毒气体报警仪。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第三节 消防设施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厂区按照《建筑设计防火规范》布置消防给水系统，主厂房、控制室等重点部位设置火灾自动报警系统及气体灭火系统。组建义务消防队，定期开展消防演练。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第十章 组织机构与人力资源配置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第一节 组织机构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项目法人实行董事会领导下的总经理负责制。下设生产技术部、安环部、财务部、行政人事部、经营部等职能部门。建立健全各项规章制度，确保管理规范高效。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第二节 人力资源配置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项目定员约{{定员人数}}人，其中管理人员{{管理人数}}人，专业技术人员{{技术人数}}人，操作人员{{操作人数}}人。实行四班三运转工作制，确保机组24小时连续运行。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第三节 员工培训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所有上岗人员必须经过严格的理论培训和跟班实习，取得特种设备作业人员证后方可上岗。定期开展技能比武和安全知识培训，提升全员业务素质。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第十一章 项目实施进度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第一节 建设工期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本项目建设工期定为24个月。自可行性研究报告批准之日起计算。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第二节 实施进度安排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1. 前期工作阶段（第1-4个月）：完成可研批复、环评审批、土地预审、初步设计及审查。</w:t>
        <w:br/>
        <w:t>2. 工程设计阶段（第5-6个月）：完成施工图设计及审查。</w:t>
        <w:br/>
        <w:t>3. 土建施工阶段（第7-16个月）：完成主厂房基础、主体结构施工及设备安装基础交付。</w:t>
        <w:br/>
        <w:t>4. 设备安装阶段（第12-20个月）：完成锅炉、汽机、电气、仪控及环保设备安装。</w:t>
        <w:br/>
        <w:t>5. 调试试运行阶段（第21-24个月）：完成单机调试、联动试车、72+24小时试运行及竣工验收。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第十二章 投资估算与资金筹措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第一节 投资估算编制依据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依据《火力发电工程建设预算编制与计算规定》、浙江省建设工程计价依据及设备厂家询价资料进行编制。预备费按基本预备费和价差预备费计列。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第二节 建设投资估算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项目总投资估算为65000.00万元。其中：</w:t>
        <w:br/>
        <w:t>1. 建筑工程费：22000.00万元，包括主厂房、烟囱、附属设施等土建费用。</w:t>
        <w:br/>
        <w:t>2. 设备购置费：28000.00万元，包括焚烧炉、锅炉、汽轮发电机组、环保设备等。</w:t>
        <w:br/>
        <w:t>3. 安装工程费：6000.00万元，包括设备安装、管道、电气仪表安装等。</w:t>
        <w:br/>
        <w:t>4. 工程建设其他费用：5000.00万元，包括土地费、建设单位管理费、勘察设计费、监理费等。</w:t>
        <w:br/>
        <w:t>5. 预备费：1000.00万元。</w:t>
        <w:br/>
        <w:t>6. 铺底流动资金：3000.00万元。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第三节 资金筹措方案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项目总投资65000.00万元，资金来源如下：</w:t>
        <w:br/>
        <w:t>1. 项目资本金：19500.00万元，占总投资的30%，由{{投资主体全称}}自筹解决。</w:t>
        <w:br/>
        <w:t>2. 债务资金：45500.00万元，占总投资的70%，拟向{{银行名称}}申请长期固定资产贷款，贷款期限15年（含建设期2年）。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第十三章 财务分析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第一节 基本财务数据假设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1. 计算期：建设期2年，运营期15年，合计17年。</w:t>
        <w:br/>
        <w:t>2. 营业收入：主要包括垃圾处理补贴费和上网电费。假设垃圾处理费为{{垃圾处理费}}元/吨，上网电价为0.65元/kWh（含税）。</w:t>
        <w:br/>
        <w:t>3. 经营成本：包括人工费、维修费、材料费（石灰、活性炭等）、水电费等。达产年总成本费用详见财务模型。</w:t>
        <w:br/>
        <w:t>4. 税金及附加：增值税即征即退70%，所得税率25%。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第二节 盈利能力分析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根据财务模型测算（具体指标见附表），项目全投资财务内部收益率（FIRR）高于行业基准收益率（8%），财务净现值（FNPV）大于零，投资回收期（含建设期）约为10.5年。表明项目具有较强的盈利能力和投资价值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第三节 偿债能力分析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项目利息备付率（ICR）和偿债备付率（DSCR）在运营期内均大于1.3，资产负债率逐年下降，表明项目偿债能力较强，财务风险可控。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第四节 不确定性分析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1. 盈亏平衡分析：以生产能力利用率表示的盈亏平衡点（BEP）较低，说明项目抗风险能力较强。</w:t>
        <w:br/>
        <w:t>2. 敏感性分析：对建设投资、经营成本、营业收入进行单因素敏感性分析。结果显示，营业收入（主要是垃圾处理费和电价）和经营成本是敏感因素。建议在运营期加强成本控制，并积极争取稳定的垃圾处理费政策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第五节 财务评价结论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综上所述，本项目财务评价指标良好，具有较强的盈利能力和偿债能力，在经济上是可行的。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财务测算指标</w:t>
      </w:r>
    </w:p>
    <w:p>
      <w:pPr>
        <w:spacing w:line="560" w:lineRule="exact" w:before="280" w:after="120"/>
      </w:pPr>
      <w:r>
        <w:rPr>
          <w:rFonts w:ascii="Times New Roman" w:hAnsi="Times New Roman" w:eastAsia="KaiTi"/>
          <w:b w:val="0"/>
          <w:color w:val="000000"/>
          <w:sz w:val="32"/>
        </w:rPr>
        <w:t>（一）投资估算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929"/>
        <w:gridCol w:w="2929"/>
        <w:gridCol w:w="2929"/>
      </w:tblGrid>
      <w:tr>
        <w:tc>
          <w:tcPr>
            <w:tcW w:type="dxa" w:w="2929"/>
          </w:tcPr>
          <w:p>
            <w:pPr>
              <w:jc w:val="center"/>
            </w:pPr>
            <w:r/>
            <w:r>
              <w:rPr>
                <w:rFonts w:eastAsia="FangSong" w:ascii="Times New Roman" w:hAnsi="Times New Roman"/>
                <w:b/>
                <w:color w:val="111827"/>
                <w:sz w:val="21"/>
              </w:rPr>
              <w:t>投资构成</w:t>
            </w:r>
          </w:p>
        </w:tc>
        <w:tc>
          <w:tcPr>
            <w:tcW w:type="dxa" w:w="2929"/>
          </w:tcPr>
          <w:p>
            <w:pPr>
              <w:jc w:val="center"/>
            </w:pPr>
            <w:r/>
            <w:r>
              <w:rPr>
                <w:rFonts w:eastAsia="FangSong" w:ascii="Times New Roman" w:hAnsi="Times New Roman"/>
                <w:b/>
                <w:color w:val="111827"/>
                <w:sz w:val="21"/>
              </w:rPr>
              <w:t>金额</w:t>
            </w:r>
          </w:p>
        </w:tc>
        <w:tc>
          <w:tcPr>
            <w:tcW w:type="dxa" w:w="2929"/>
          </w:tcPr>
          <w:p>
            <w:pPr>
              <w:jc w:val="center"/>
            </w:pPr>
            <w:r/>
            <w:r>
              <w:rPr>
                <w:rFonts w:eastAsia="FangSong" w:ascii="Times New Roman" w:hAnsi="Times New Roman"/>
                <w:b/>
                <w:color w:val="111827"/>
                <w:sz w:val="21"/>
              </w:rPr>
              <w:t>占总投资比例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建筑工程费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22,000.00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33.85%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设备购置费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28,000.00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43.08%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安装工程费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6,000.00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9.23%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工程建设其他费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5,000.00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7.69%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预备费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1,000.00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1.54%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铺底流动资金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3,000.00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4.62%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合计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65,000.00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100.00%</w:t>
            </w:r>
          </w:p>
        </w:tc>
      </w:tr>
    </w:tbl>
    <w:p>
      <w:pPr>
        <w:spacing w:line="560" w:lineRule="exact" w:before="280" w:after="120"/>
      </w:pPr>
      <w:r>
        <w:rPr>
          <w:rFonts w:ascii="Times New Roman" w:hAnsi="Times New Roman" w:eastAsia="KaiTi"/>
          <w:b w:val="0"/>
          <w:color w:val="000000"/>
          <w:sz w:val="32"/>
        </w:rPr>
        <w:t>（二）主要财务评价指标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929"/>
        <w:gridCol w:w="2929"/>
        <w:gridCol w:w="2929"/>
      </w:tblGrid>
      <w:tr>
        <w:tc>
          <w:tcPr>
            <w:tcW w:type="dxa" w:w="2929"/>
          </w:tcPr>
          <w:p>
            <w:pPr>
              <w:jc w:val="center"/>
            </w:pPr>
            <w:r/>
            <w:r>
              <w:rPr>
                <w:rFonts w:eastAsia="FangSong" w:ascii="Times New Roman" w:hAnsi="Times New Roman"/>
                <w:b/>
                <w:color w:val="111827"/>
                <w:sz w:val="21"/>
              </w:rPr>
              <w:t>财务评价指标</w:t>
            </w:r>
          </w:p>
        </w:tc>
        <w:tc>
          <w:tcPr>
            <w:tcW w:type="dxa" w:w="2929"/>
          </w:tcPr>
          <w:p>
            <w:pPr>
              <w:jc w:val="center"/>
            </w:pPr>
            <w:r/>
            <w:r>
              <w:rPr>
                <w:rFonts w:eastAsia="FangSong" w:ascii="Times New Roman" w:hAnsi="Times New Roman"/>
                <w:b/>
                <w:color w:val="111827"/>
                <w:sz w:val="21"/>
              </w:rPr>
              <w:t>税前</w:t>
            </w:r>
          </w:p>
        </w:tc>
        <w:tc>
          <w:tcPr>
            <w:tcW w:type="dxa" w:w="2929"/>
          </w:tcPr>
          <w:p>
            <w:pPr>
              <w:jc w:val="center"/>
            </w:pPr>
            <w:r/>
            <w:r>
              <w:rPr>
                <w:rFonts w:eastAsia="FangSong" w:ascii="Times New Roman" w:hAnsi="Times New Roman"/>
                <w:b/>
                <w:color w:val="111827"/>
                <w:sz w:val="21"/>
              </w:rPr>
              <w:t>税后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项目财务内部收益率 FIRR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-1.62%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-1.62%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财务净现值 FNPV（万元）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-35,454.58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-31,230.52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投资回收期（含建设期）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—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—（动态）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总投资利润率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-2.81%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—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利息备付率 ICR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-0.81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—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偿债备付率 DSCR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0.80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—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盈亏平衡点（产能利用率）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63.20%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—</w:t>
            </w:r>
          </w:p>
        </w:tc>
      </w:tr>
    </w:tbl>
    <w:p>
      <w:pPr>
        <w:spacing w:line="560" w:lineRule="exact" w:before="280" w:after="120"/>
      </w:pPr>
      <w:r>
        <w:rPr>
          <w:rFonts w:ascii="Times New Roman" w:hAnsi="Times New Roman" w:eastAsia="KaiTi"/>
          <w:b w:val="0"/>
          <w:color w:val="000000"/>
          <w:sz w:val="32"/>
        </w:rPr>
        <w:t>（三）敏感性分析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1465"/>
        <w:gridCol w:w="1465"/>
        <w:gridCol w:w="1465"/>
        <w:gridCol w:w="1465"/>
        <w:gridCol w:w="1465"/>
        <w:gridCol w:w="1465"/>
      </w:tblGrid>
      <w:tr>
        <w:tc>
          <w:tcPr>
            <w:tcW w:type="dxa" w:w="1465"/>
          </w:tcPr>
          <w:p>
            <w:pPr>
              <w:jc w:val="center"/>
            </w:pPr>
            <w:r/>
            <w:r>
              <w:rPr>
                <w:rFonts w:eastAsia="FangSong" w:ascii="Times New Roman" w:hAnsi="Times New Roman"/>
                <w:b/>
                <w:color w:val="111827"/>
                <w:sz w:val="21"/>
              </w:rPr>
              <w:t>变动因素</w:t>
            </w:r>
          </w:p>
        </w:tc>
        <w:tc>
          <w:tcPr>
            <w:tcW w:type="dxa" w:w="1465"/>
          </w:tcPr>
          <w:p>
            <w:pPr>
              <w:jc w:val="center"/>
            </w:pPr>
            <w:r/>
            <w:r>
              <w:rPr>
                <w:rFonts w:eastAsia="FangSong" w:ascii="Times New Roman" w:hAnsi="Times New Roman"/>
                <w:b/>
                <w:color w:val="111827"/>
                <w:sz w:val="21"/>
              </w:rPr>
              <w:t>-10%</w:t>
            </w:r>
          </w:p>
        </w:tc>
        <w:tc>
          <w:tcPr>
            <w:tcW w:type="dxa" w:w="1465"/>
          </w:tcPr>
          <w:p>
            <w:pPr>
              <w:jc w:val="center"/>
            </w:pPr>
            <w:r/>
            <w:r>
              <w:rPr>
                <w:rFonts w:eastAsia="FangSong" w:ascii="Times New Roman" w:hAnsi="Times New Roman"/>
                <w:b/>
                <w:color w:val="111827"/>
                <w:sz w:val="21"/>
              </w:rPr>
              <w:t>-5%</w:t>
            </w:r>
          </w:p>
        </w:tc>
        <w:tc>
          <w:tcPr>
            <w:tcW w:type="dxa" w:w="1465"/>
          </w:tcPr>
          <w:p>
            <w:pPr>
              <w:jc w:val="center"/>
            </w:pPr>
            <w:r/>
            <w:r>
              <w:rPr>
                <w:rFonts w:eastAsia="FangSong" w:ascii="Times New Roman" w:hAnsi="Times New Roman"/>
                <w:b/>
                <w:color w:val="111827"/>
                <w:sz w:val="21"/>
              </w:rPr>
              <w:t>基准</w:t>
            </w:r>
          </w:p>
        </w:tc>
        <w:tc>
          <w:tcPr>
            <w:tcW w:type="dxa" w:w="1465"/>
          </w:tcPr>
          <w:p>
            <w:pPr>
              <w:jc w:val="center"/>
            </w:pPr>
            <w:r/>
            <w:r>
              <w:rPr>
                <w:rFonts w:eastAsia="FangSong" w:ascii="Times New Roman" w:hAnsi="Times New Roman"/>
                <w:b/>
                <w:color w:val="111827"/>
                <w:sz w:val="21"/>
              </w:rPr>
              <w:t>+5%</w:t>
            </w:r>
          </w:p>
        </w:tc>
        <w:tc>
          <w:tcPr>
            <w:tcW w:type="dxa" w:w="1465"/>
          </w:tcPr>
          <w:p>
            <w:pPr>
              <w:jc w:val="center"/>
            </w:pPr>
            <w:r/>
            <w:r>
              <w:rPr>
                <w:rFonts w:eastAsia="FangSong" w:ascii="Times New Roman" w:hAnsi="Times New Roman"/>
                <w:b/>
                <w:color w:val="111827"/>
                <w:sz w:val="21"/>
              </w:rPr>
              <w:t>+10%</w:t>
            </w:r>
          </w:p>
        </w:tc>
      </w:tr>
      <w:tr>
        <w:tc>
          <w:tcPr>
            <w:tcW w:type="dxa" w:w="1465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营业收入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-4.13%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-2.83%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-1.62%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-0.48%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0.59%</w:t>
            </w:r>
          </w:p>
        </w:tc>
      </w:tr>
      <w:tr>
        <w:tc>
          <w:tcPr>
            <w:tcW w:type="dxa" w:w="1465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经营成本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-0.19%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-0.89%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-1.62%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-2.37%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-3.16%</w:t>
            </w:r>
          </w:p>
        </w:tc>
      </w:tr>
      <w:tr>
        <w:tc>
          <w:tcPr>
            <w:tcW w:type="dxa" w:w="1465"/>
          </w:tcPr>
          <w:p>
            <w:pPr>
              <w:jc w:val="lef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建设投资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-0.55%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-1.10%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-1.62%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-2.10%</w:t>
            </w:r>
          </w:p>
        </w:tc>
        <w:tc>
          <w:tcPr>
            <w:tcW w:type="dxa" w:w="1465"/>
          </w:tcPr>
          <w:p>
            <w:pPr>
              <w:jc w:val="right"/>
            </w:pPr>
            <w:r/>
            <w:r>
              <w:rPr>
                <w:rFonts w:eastAsia="FangSong" w:ascii="Times New Roman" w:hAnsi="Times New Roman"/>
                <w:color w:val="4B5563"/>
                <w:sz w:val="18"/>
              </w:rPr>
              <w:t>-2.55%</w:t>
            </w:r>
          </w:p>
        </w:tc>
      </w:tr>
    </w:tbl>
    <w:p>
      <w:r>
        <w:rPr>
          <w:rFonts w:eastAsia="FangSong" w:ascii="Times New Roman" w:hAnsi="Times New Roman"/>
          <w:color w:val="9CA3AF"/>
          <w:sz w:val="16"/>
        </w:rPr>
        <w:t>表中数值为对应因素单独变动时的项目财务内部收益率（税前）测算值。</w:t>
      </w:r>
    </w:p>
    <w:p>
      <w:pPr>
        <w:spacing w:line="560" w:lineRule="exact" w:before="160" w:after="0"/>
      </w:pPr>
      <w:r>
        <w:rPr>
          <w:rFonts w:ascii="Times New Roman" w:hAnsi="Times New Roman" w:eastAsia="FangSong"/>
          <w:b w:val="0"/>
          <w:color w:val="000000"/>
          <w:sz w:val="26"/>
        </w:rPr>
        <w:t>注：以上为测算值，采用全投资现金流模型（《建设项目经济评价方法与参数》第三版）。测算假设：项目总投资 65,000.00 万元；建设期 2 年；运营期 15 年；达产年营业收入 9,200.00 万元；达产年总成本 5,800.00 万元；所得税率 25%；基准折现率 8.0%。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结论意见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综上所述，本项目符合国家循环经济和环境保护产业政策，技术方案成熟可靠，选址合理，环保措施得当，财务评价指标满足行业基准要求，具有良好的社会效益、环境效益和经济效益。项目建设是必要的、可行的，建议尽快批准实施。</w:t>
      </w:r>
    </w:p>
    <w:p>
      <w:pPr>
        <w:spacing w:line="560" w:lineRule="exact" w:before="280" w:after="120"/>
      </w:pPr>
      <w:r>
        <w:rPr>
          <w:rFonts w:ascii="Times New Roman" w:hAnsi="Times New Roman" w:eastAsia="KaiTi"/>
          <w:b w:val="0"/>
          <w:color w:val="000000"/>
          <w:sz w:val="32"/>
        </w:rPr>
        <w:t>前提条件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1. 须尽快取得项目用地的土地使用权证及规划许可证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2. 须完成环境影响评价报告书的编制并取得生态环境部门批复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3. 须落实银行贷款意向书，确保建设资金按时到位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4. 须与当地环卫主管部门签订长期生活垃圾供应及处理服务协议</w:t>
      </w:r>
    </w:p>
    <w:p>
      <w:pPr>
        <w:spacing w:line="560" w:lineRule="exact" w:before="520" w:after="200"/>
      </w:pPr>
      <w:r>
        <w:rPr>
          <w:rFonts w:ascii="Times New Roman" w:hAnsi="Times New Roman" w:eastAsia="SimHei"/>
          <w:b/>
          <w:color w:val="000000"/>
          <w:sz w:val="32"/>
        </w:rPr>
        <w:t>建议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1. 建议1：加快前期手续办理，特别是环评和土地审批，责任主体为项目开发部，时间节点为开工前3个月完成。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2. 建议2：加强与电网公司及环卫部门的沟通，落实上网电价政策和垃圾处理费结算机制，责任主体为经营部，时间节点为并网前6个月完成协议签署。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FangSong"/>
          <w:b w:val="0"/>
          <w:color w:val="000000"/>
          <w:sz w:val="32"/>
        </w:rPr>
        <w:t>3. 建议3：严格控制工程造价，推行限额设计和招投标制度，加强建设期资金管理，责任主体为工程部及财务部，贯穿整个建设周期。</w:t>
      </w:r>
    </w:p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60" w:lineRule="exact"/>
    </w:pPr>
    <w:rPr>
      <w:rFonts w:ascii="Times New Roman" w:hAnsi="Times New Roman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