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1600" w:after="0"/>
      </w:pPr>
    </w:p>
    <w:p>
      <w:pPr>
        <w:spacing w:line="560" w:lineRule="exact" w:before="0" w:after="800"/>
        <w:jc w:val="center"/>
      </w:pPr>
      <w:r>
        <w:rPr>
          <w:rFonts w:ascii="Times New Roman" w:hAnsi="Times New Roman" w:eastAsia="SimHei"/>
          <w:b/>
          <w:color w:val="000000"/>
          <w:sz w:val="44"/>
        </w:rPr>
        <w:t>新能源电池材料产业股权投资基金项目可行性研究报告</w:t>
      </w:r>
    </w:p>
    <w:p>
      <w:pPr>
        <w:spacing w:line="560" w:lineRule="exact" w:before="0" w:after="80"/>
      </w:pPr>
      <w:r>
        <w:rPr>
          <w:rFonts w:ascii="Times New Roman" w:hAnsi="Times New Roman" w:eastAsia="FangSong"/>
          <w:b w:val="0"/>
          <w:color w:val="000000"/>
          <w:sz w:val="32"/>
        </w:rPr>
        <w:t>项目名称：新能源电池材料产业股权投资基金项目</w:t>
      </w:r>
    </w:p>
    <w:p>
      <w:pPr>
        <w:spacing w:line="560" w:lineRule="exact" w:before="0" w:after="80"/>
      </w:pPr>
      <w:r>
        <w:rPr>
          <w:rFonts w:ascii="Times New Roman" w:hAnsi="Times New Roman" w:eastAsia="FangSong"/>
          <w:b w:val="0"/>
          <w:color w:val="000000"/>
          <w:sz w:val="32"/>
        </w:rPr>
        <w:t>项目选址：{{基金注册地，如：XX省XX市XX区金融产业园}}</w:t>
      </w:r>
    </w:p>
    <w:p>
      <w:pPr>
        <w:spacing w:line="560" w:lineRule="exact" w:before="0" w:after="80"/>
      </w:pPr>
      <w:r>
        <w:rPr>
          <w:rFonts w:ascii="Times New Roman" w:hAnsi="Times New Roman" w:eastAsia="FangSong"/>
          <w:b w:val="0"/>
          <w:color w:val="000000"/>
          <w:sz w:val="32"/>
        </w:rPr>
        <w:t>投资主体：{{发起机构全称，如：XX资本管理有限公司}}</w:t>
      </w:r>
    </w:p>
    <w:p>
      <w:pPr>
        <w:spacing w:line="560" w:lineRule="exact" w:before="0" w:after="80"/>
      </w:pPr>
      <w:r>
        <w:rPr>
          <w:rFonts w:ascii="Times New Roman" w:hAnsi="Times New Roman" w:eastAsia="FangSong"/>
          <w:b w:val="0"/>
          <w:color w:val="000000"/>
          <w:sz w:val="32"/>
        </w:rPr>
        <w:t>所属行业：J67 资本市场服务（私募股权投资）</w:t>
      </w:r>
    </w:p>
    <w:p>
      <w:pPr>
        <w:spacing w:line="560" w:lineRule="exact" w:before="0" w:after="80"/>
      </w:pPr>
      <w:r>
        <w:rPr>
          <w:rFonts w:ascii="Times New Roman" w:hAnsi="Times New Roman" w:eastAsia="FangSong"/>
          <w:b w:val="0"/>
          <w:color w:val="000000"/>
          <w:sz w:val="32"/>
        </w:rPr>
        <w:t>项目总投资（万元）：100000</w:t>
      </w:r>
    </w:p>
    <w:p>
      <w:pPr>
        <w:spacing w:line="560" w:lineRule="exact" w:before="0" w:after="80"/>
      </w:pPr>
      <w:r>
        <w:rPr>
          <w:rFonts w:ascii="Times New Roman" w:hAnsi="Times New Roman" w:eastAsia="FangSong"/>
          <w:b w:val="0"/>
          <w:color w:val="000000"/>
          <w:sz w:val="32"/>
        </w:rPr>
        <w:t>建设工期：24个月（投资期）</w:t>
      </w:r>
    </w:p>
    <w:p>
      <w:pPr>
        <w:spacing w:line="560" w:lineRule="exact" w:before="0" w:after="80"/>
      </w:pPr>
      <w:r>
        <w:rPr>
          <w:rFonts w:ascii="Times New Roman" w:hAnsi="Times New Roman" w:eastAsia="FangSong"/>
          <w:b w:val="0"/>
          <w:color w:val="000000"/>
          <w:sz w:val="32"/>
        </w:rPr>
        <w:t>项目类型：新建（基金设立）</w:t>
      </w:r>
    </w:p>
    <w:p>
      <w:r>
        <w:br w:type="page"/>
      </w:r>
    </w:p>
    <w:p>
      <w:pPr>
        <w:spacing w:line="560" w:lineRule="exact" w:before="520" w:after="200"/>
      </w:pPr>
      <w:r>
        <w:rPr>
          <w:rFonts w:ascii="Times New Roman" w:hAnsi="Times New Roman" w:eastAsia="SimHei"/>
          <w:b/>
          <w:color w:val="000000"/>
          <w:sz w:val="32"/>
        </w:rPr>
        <w:t>第一章 项目概述</w:t>
      </w:r>
    </w:p>
    <w:p>
      <w:pPr>
        <w:spacing w:line="560" w:lineRule="exact" w:before="0" w:after="0"/>
        <w:ind w:firstLine="480"/>
      </w:pPr>
      <w:r>
        <w:rPr>
          <w:rFonts w:ascii="Times New Roman" w:hAnsi="Times New Roman" w:eastAsia="FangSong"/>
          <w:b w:val="0"/>
          <w:color w:val="000000"/>
          <w:sz w:val="32"/>
        </w:rPr>
        <w:t>第一节 项目背景</w:t>
      </w:r>
    </w:p>
    <w:p>
      <w:pPr>
        <w:spacing w:line="560" w:lineRule="exact" w:before="0" w:after="0"/>
        <w:ind w:firstLine="480"/>
      </w:pPr>
      <w:r>
        <w:rPr>
          <w:rFonts w:ascii="Times New Roman" w:hAnsi="Times New Roman" w:eastAsia="FangSong"/>
          <w:b w:val="0"/>
          <w:color w:val="000000"/>
          <w:sz w:val="32"/>
        </w:rPr>
        <w:t>随着全球能源转型加速及中国“双碳”战略的深入实施，新能源汽车及储能产业迎来爆发式增长，带动上游关键电池材料需求激增。正极、负极、电解液、隔膜及电池回收等环节技术迭代快、资本密集度高，亟需长期稳定的股权资本支持。为抓住产业窗口期，{{发起机构全称}}拟联合{{其他LP名称}}共同发起设立“新能源电池材料产业股权投资基金”（以下简称“本基金”）。</w:t>
      </w:r>
    </w:p>
    <w:p>
      <w:pPr>
        <w:spacing w:line="560" w:lineRule="exact" w:before="0" w:after="0"/>
        <w:ind w:firstLine="480"/>
      </w:pPr>
      <w:r>
        <w:rPr>
          <w:rFonts w:ascii="Times New Roman" w:hAnsi="Times New Roman" w:eastAsia="FangSong"/>
          <w:b w:val="0"/>
          <w:color w:val="000000"/>
          <w:sz w:val="32"/>
        </w:rPr>
        <w:t>第二节 项目概况</w:t>
      </w:r>
    </w:p>
    <w:p>
      <w:pPr>
        <w:spacing w:line="560" w:lineRule="exact" w:before="0" w:after="0"/>
        <w:ind w:firstLine="480"/>
      </w:pPr>
      <w:r>
        <w:rPr>
          <w:rFonts w:ascii="Times New Roman" w:hAnsi="Times New Roman" w:eastAsia="FangSong"/>
          <w:b w:val="0"/>
          <w:color w:val="000000"/>
          <w:sz w:val="32"/>
        </w:rPr>
        <w:t>本基金目标规模为人民币10亿元，主要投资于新能源电池材料产业链上下游的优质未上市企业。基金存续期为7年（3年投资期+4年退出期），可延长2年。基金管理人为{{发起机构全称}}，托管银行为{{托管银行名称}}。</w:t>
      </w:r>
    </w:p>
    <w:p>
      <w:pPr>
        <w:spacing w:line="560" w:lineRule="exact" w:before="0" w:after="0"/>
        <w:ind w:firstLine="480"/>
      </w:pPr>
      <w:r>
        <w:rPr>
          <w:rFonts w:ascii="Times New Roman" w:hAnsi="Times New Roman" w:eastAsia="FangSong"/>
          <w:b w:val="0"/>
          <w:color w:val="000000"/>
          <w:sz w:val="32"/>
        </w:rPr>
        <w:t>第三节 编制依据</w:t>
      </w:r>
    </w:p>
    <w:p>
      <w:pPr>
        <w:spacing w:line="560" w:lineRule="exact" w:before="0" w:after="0"/>
        <w:ind w:firstLine="480"/>
      </w:pPr>
      <w:r>
        <w:rPr>
          <w:rFonts w:ascii="Times New Roman" w:hAnsi="Times New Roman" w:eastAsia="FangSong"/>
          <w:b w:val="0"/>
          <w:color w:val="000000"/>
          <w:sz w:val="32"/>
        </w:rPr>
        <w:t>本报告依据《中华人民共和国证券投资基金法》、《私募投资基金监督管理暂行办法》、《政府投资基金暂行管理办法》及发改投资规〔2023〕304号文等相关法规编制，旨在论证基金设立的必要性、可行性及经济效益。</w:t>
      </w:r>
    </w:p>
    <w:p>
      <w:pPr>
        <w:spacing w:line="560" w:lineRule="exact" w:before="520" w:after="200"/>
      </w:pPr>
      <w:r>
        <w:rPr>
          <w:rFonts w:ascii="Times New Roman" w:hAnsi="Times New Roman" w:eastAsia="SimHei"/>
          <w:b/>
          <w:color w:val="000000"/>
          <w:sz w:val="32"/>
        </w:rPr>
        <w:t>第二章 市场分析与需求预测</w:t>
      </w:r>
    </w:p>
    <w:p>
      <w:pPr>
        <w:spacing w:line="560" w:lineRule="exact" w:before="0" w:after="0"/>
        <w:ind w:firstLine="480"/>
      </w:pPr>
      <w:r>
        <w:rPr>
          <w:rFonts w:ascii="Times New Roman" w:hAnsi="Times New Roman" w:eastAsia="FangSong"/>
          <w:b w:val="0"/>
          <w:color w:val="000000"/>
          <w:sz w:val="32"/>
        </w:rPr>
        <w:t>第一节 行业现状与市场规模</w:t>
      </w:r>
    </w:p>
    <w:p>
      <w:pPr>
        <w:spacing w:line="560" w:lineRule="exact" w:before="0" w:after="0"/>
        <w:ind w:firstLine="480"/>
      </w:pPr>
      <w:r>
        <w:rPr>
          <w:rFonts w:ascii="Times New Roman" w:hAnsi="Times New Roman" w:eastAsia="FangSong"/>
          <w:b w:val="0"/>
          <w:color w:val="000000"/>
          <w:sz w:val="32"/>
        </w:rPr>
        <w:t>根据高工锂电（GGII）及中国汽车工业协会数据，2023年中国动力电池出货量达675GWh，同比增长35%。预计至2025年，全球动力电池需求将突破1500GWh，对应正极材料市场规模超3000亿元，负极材料超800亿元，隔膜超400亿元。尽管短期存在产能结构性过剩，但高端产能（如高镍三元、硅基负极、半固态电解质）依然紧缺。</w:t>
      </w:r>
    </w:p>
    <w:p>
      <w:pPr>
        <w:spacing w:line="560" w:lineRule="exact" w:before="0" w:after="0"/>
        <w:ind w:firstLine="480"/>
      </w:pPr>
      <w:r>
        <w:rPr>
          <w:rFonts w:ascii="Times New Roman" w:hAnsi="Times New Roman" w:eastAsia="FangSong"/>
          <w:b w:val="0"/>
          <w:color w:val="000000"/>
          <w:sz w:val="32"/>
        </w:rPr>
        <w:t>第二节 细分领域需求预测</w:t>
      </w:r>
    </w:p>
    <w:p>
      <w:pPr>
        <w:spacing w:line="560" w:lineRule="exact" w:before="0" w:after="0"/>
        <w:ind w:firstLine="480"/>
      </w:pPr>
      <w:r>
        <w:rPr>
          <w:rFonts w:ascii="Times New Roman" w:hAnsi="Times New Roman" w:eastAsia="FangSong"/>
          <w:b w:val="0"/>
          <w:color w:val="000000"/>
          <w:sz w:val="32"/>
        </w:rPr>
        <w:t>1. 正极材料：高镍化与磷酸锰铁锂（LMFP）成为主流趋势，预计2025年高镍三元渗透率将达45%以上。</w:t>
        <w:br/>
        <w:t>2. 负极材料：硅基负极因能量密度优势，在高端车型中应用加速，预计年复合增长率（CAGR）超30%。</w:t>
        <w:br/>
        <w:t>3. 电池回收：随着首批动力电池退役潮到来，预计2025年国内电池回收市场规模将突破1000亿元，再生锂、钴、镍资源价值凸显。</w:t>
      </w:r>
    </w:p>
    <w:p>
      <w:pPr>
        <w:spacing w:line="560" w:lineRule="exact" w:before="0" w:after="0"/>
        <w:ind w:firstLine="480"/>
      </w:pPr>
      <w:r>
        <w:rPr>
          <w:rFonts w:ascii="Times New Roman" w:hAnsi="Times New Roman" w:eastAsia="FangSong"/>
          <w:b w:val="0"/>
          <w:color w:val="000000"/>
          <w:sz w:val="32"/>
        </w:rPr>
        <w:t>第三节 市场竞争格局</w:t>
      </w:r>
    </w:p>
    <w:p>
      <w:pPr>
        <w:spacing w:line="560" w:lineRule="exact" w:before="0" w:after="0"/>
        <w:ind w:firstLine="480"/>
      </w:pPr>
      <w:r>
        <w:rPr>
          <w:rFonts w:ascii="Times New Roman" w:hAnsi="Times New Roman" w:eastAsia="FangSong"/>
          <w:b w:val="0"/>
          <w:color w:val="000000"/>
          <w:sz w:val="32"/>
        </w:rPr>
        <w:t>当前电池材料行业集中度持续提升，头部效应明显。本基金将重点挖掘具备核心技术壁垒、成本控制能力强且尚未上市的“专精特新”企业，填补一级市场优质资产缺口。</w:t>
      </w:r>
    </w:p>
    <w:p>
      <w:pPr>
        <w:spacing w:line="560" w:lineRule="exact" w:before="520" w:after="200"/>
      </w:pPr>
      <w:r>
        <w:rPr>
          <w:rFonts w:ascii="Times New Roman" w:hAnsi="Times New Roman" w:eastAsia="SimHei"/>
          <w:b/>
          <w:color w:val="000000"/>
          <w:sz w:val="32"/>
        </w:rPr>
        <w:t>第三章 建设规模与产品方案</w:t>
      </w:r>
    </w:p>
    <w:p>
      <w:pPr>
        <w:spacing w:line="560" w:lineRule="exact" w:before="0" w:after="0"/>
        <w:ind w:firstLine="480"/>
      </w:pPr>
      <w:r>
        <w:rPr>
          <w:rFonts w:ascii="Times New Roman" w:hAnsi="Times New Roman" w:eastAsia="FangSong"/>
          <w:b w:val="0"/>
          <w:color w:val="000000"/>
          <w:sz w:val="32"/>
        </w:rPr>
        <w:t>第一节 基金规模与结构</w:t>
      </w:r>
    </w:p>
    <w:p>
      <w:pPr>
        <w:spacing w:line="560" w:lineRule="exact" w:before="0" w:after="0"/>
        <w:ind w:firstLine="480"/>
      </w:pPr>
      <w:r>
        <w:rPr>
          <w:rFonts w:ascii="Times New Roman" w:hAnsi="Times New Roman" w:eastAsia="FangSong"/>
          <w:b w:val="0"/>
          <w:color w:val="000000"/>
          <w:sz w:val="32"/>
        </w:rPr>
        <w:t>本基金总规模为10亿元人民币。采用有限合伙制形式，由普通合伙人（GP）{{发起机构全称}}执行事务合伙，有限合伙人（LP）包括{{地方政府引导基金}}、{{大型产业集团}}及{{高净值个人/机构}}。</w:t>
      </w:r>
    </w:p>
    <w:p>
      <w:pPr>
        <w:spacing w:line="560" w:lineRule="exact" w:before="0" w:after="0"/>
        <w:ind w:firstLine="480"/>
      </w:pPr>
      <w:r>
        <w:rPr>
          <w:rFonts w:ascii="Times New Roman" w:hAnsi="Times New Roman" w:eastAsia="FangSong"/>
          <w:b w:val="0"/>
          <w:color w:val="000000"/>
          <w:sz w:val="32"/>
        </w:rPr>
        <w:t>第二节 投资方向与比例</w:t>
      </w:r>
    </w:p>
    <w:p>
      <w:pPr>
        <w:spacing w:line="560" w:lineRule="exact" w:before="0" w:after="0"/>
        <w:ind w:firstLine="480"/>
      </w:pPr>
      <w:r>
        <w:rPr>
          <w:rFonts w:ascii="Times New Roman" w:hAnsi="Times New Roman" w:eastAsia="FangSong"/>
          <w:b w:val="0"/>
          <w:color w:val="000000"/>
          <w:sz w:val="32"/>
        </w:rPr>
        <w:t>基金资金将严格限定于新能源电池材料产业链，具体配置比例如下：</w:t>
        <w:br/>
        <w:t>1. 正极材料及前驱体：30%-40%</w:t>
        <w:br/>
        <w:t>2. 负极材料及新型碳材：20%-30%</w:t>
        <w:br/>
        <w:t>3. 电解液及添加剂：10%-15%</w:t>
        <w:br/>
        <w:t>4. 隔膜及涂覆材料：10%-15%</w:t>
        <w:br/>
        <w:t>5. 电池回收及资源化利用：10%-15%</w:t>
      </w:r>
    </w:p>
    <w:p>
      <w:pPr>
        <w:spacing w:line="560" w:lineRule="exact" w:before="0" w:after="0"/>
        <w:ind w:firstLine="480"/>
      </w:pPr>
      <w:r>
        <w:rPr>
          <w:rFonts w:ascii="Times New Roman" w:hAnsi="Times New Roman" w:eastAsia="FangSong"/>
          <w:b w:val="0"/>
          <w:color w:val="000000"/>
          <w:sz w:val="32"/>
        </w:rPr>
        <w:t>第三节 投资策略</w:t>
      </w:r>
    </w:p>
    <w:p>
      <w:pPr>
        <w:spacing w:line="560" w:lineRule="exact" w:before="0" w:after="0"/>
        <w:ind w:firstLine="480"/>
      </w:pPr>
      <w:r>
        <w:rPr>
          <w:rFonts w:ascii="Times New Roman" w:hAnsi="Times New Roman" w:eastAsia="FangSong"/>
          <w:b w:val="0"/>
          <w:color w:val="000000"/>
          <w:sz w:val="32"/>
        </w:rPr>
        <w:t>采取“成长期为主、早期为辅”的策略。重点投资B轮至Pre-IPO阶段企业，单笔投资金额控制在5000万元至1.5亿元之间，单个项目投资占比不超过基金总额的20%，以分散风险。</w:t>
      </w:r>
    </w:p>
    <w:p>
      <w:pPr>
        <w:spacing w:line="560" w:lineRule="exact" w:before="520" w:after="200"/>
      </w:pPr>
      <w:r>
        <w:rPr>
          <w:rFonts w:ascii="Times New Roman" w:hAnsi="Times New Roman" w:eastAsia="SimHei"/>
          <w:b/>
          <w:color w:val="000000"/>
          <w:sz w:val="32"/>
        </w:rPr>
        <w:t>第四章 场（厂）址选择</w:t>
      </w:r>
    </w:p>
    <w:p>
      <w:pPr>
        <w:spacing w:line="560" w:lineRule="exact" w:before="0" w:after="0"/>
        <w:ind w:firstLine="480"/>
      </w:pPr>
      <w:r>
        <w:rPr>
          <w:rFonts w:ascii="Times New Roman" w:hAnsi="Times New Roman" w:eastAsia="FangSong"/>
          <w:b w:val="0"/>
          <w:color w:val="000000"/>
          <w:sz w:val="32"/>
        </w:rPr>
        <w:t>第一节 注册地选择</w:t>
      </w:r>
    </w:p>
    <w:p>
      <w:pPr>
        <w:spacing w:line="560" w:lineRule="exact" w:before="0" w:after="0"/>
        <w:ind w:firstLine="480"/>
      </w:pPr>
      <w:r>
        <w:rPr>
          <w:rFonts w:ascii="Times New Roman" w:hAnsi="Times New Roman" w:eastAsia="FangSong"/>
          <w:b w:val="0"/>
          <w:color w:val="000000"/>
          <w:sz w:val="32"/>
        </w:rPr>
        <w:t>本基金拟注册于{{基金注册地}}。该地拥有成熟的金融生态圈，出台了《关于促进私募股权投资基金发展的若干措施》，对落户基金给予最高{{奖励金额}}万元的落户奖励，并对投资收益地方留存部分给予一定比例的财政返还。</w:t>
      </w:r>
    </w:p>
    <w:p>
      <w:pPr>
        <w:spacing w:line="560" w:lineRule="exact" w:before="0" w:after="0"/>
        <w:ind w:firstLine="480"/>
      </w:pPr>
      <w:r>
        <w:rPr>
          <w:rFonts w:ascii="Times New Roman" w:hAnsi="Times New Roman" w:eastAsia="FangSong"/>
          <w:b w:val="0"/>
          <w:color w:val="000000"/>
          <w:sz w:val="32"/>
        </w:rPr>
        <w:t>第二节 办公场所与管理团队驻地</w:t>
      </w:r>
    </w:p>
    <w:p>
      <w:pPr>
        <w:spacing w:line="560" w:lineRule="exact" w:before="0" w:after="0"/>
        <w:ind w:firstLine="480"/>
      </w:pPr>
      <w:r>
        <w:rPr>
          <w:rFonts w:ascii="Times New Roman" w:hAnsi="Times New Roman" w:eastAsia="FangSong"/>
          <w:b w:val="0"/>
          <w:color w:val="000000"/>
          <w:sz w:val="32"/>
        </w:rPr>
        <w:t>基金管理团队常驻{{城市名称}}核心商务区，便于辐射长三角/珠三角新能源产业集群。办公场所通过租赁方式解决，面积约为{{办公面积}}平方米，满足投资决策委员会会议、尽职调查归档及日常运营需求。</w:t>
      </w:r>
    </w:p>
    <w:p>
      <w:pPr>
        <w:spacing w:line="560" w:lineRule="exact" w:before="0" w:after="0"/>
        <w:ind w:firstLine="480"/>
      </w:pPr>
      <w:r>
        <w:rPr>
          <w:rFonts w:ascii="Times New Roman" w:hAnsi="Times New Roman" w:eastAsia="FangSong"/>
          <w:b w:val="0"/>
          <w:color w:val="000000"/>
          <w:sz w:val="32"/>
        </w:rPr>
        <w:t>第三节 选址合理性分析</w:t>
      </w:r>
    </w:p>
    <w:p>
      <w:pPr>
        <w:spacing w:line="560" w:lineRule="exact" w:before="0" w:after="0"/>
        <w:ind w:firstLine="480"/>
      </w:pPr>
      <w:r>
        <w:rPr>
          <w:rFonts w:ascii="Times New Roman" w:hAnsi="Times New Roman" w:eastAsia="FangSong"/>
          <w:b w:val="0"/>
          <w:color w:val="000000"/>
          <w:sz w:val="32"/>
        </w:rPr>
        <w:t>选址地交通便利、信息流通快，且靠近主要被投企业聚集区（如江苏常州、福建宁德、四川宜宾等），有利于开展现场尽调与投后管理，降低运营成本。</w:t>
      </w:r>
    </w:p>
    <w:p>
      <w:pPr>
        <w:spacing w:line="560" w:lineRule="exact" w:before="520" w:after="200"/>
      </w:pPr>
      <w:r>
        <w:rPr>
          <w:rFonts w:ascii="Times New Roman" w:hAnsi="Times New Roman" w:eastAsia="SimHei"/>
          <w:b/>
          <w:color w:val="000000"/>
          <w:sz w:val="32"/>
        </w:rPr>
        <w:t>第五章 技术方案、设备方案和工程方案</w:t>
      </w:r>
    </w:p>
    <w:p>
      <w:pPr>
        <w:spacing w:line="560" w:lineRule="exact" w:before="0" w:after="0"/>
        <w:ind w:firstLine="480"/>
      </w:pPr>
      <w:r>
        <w:rPr>
          <w:rFonts w:ascii="Times New Roman" w:hAnsi="Times New Roman" w:eastAsia="FangSong"/>
          <w:b w:val="0"/>
          <w:color w:val="000000"/>
          <w:sz w:val="32"/>
        </w:rPr>
        <w:t>第一节 投资管理技术体系</w:t>
      </w:r>
    </w:p>
    <w:p>
      <w:pPr>
        <w:spacing w:line="560" w:lineRule="exact" w:before="0" w:after="0"/>
        <w:ind w:firstLine="480"/>
      </w:pPr>
      <w:r>
        <w:rPr>
          <w:rFonts w:ascii="Times New Roman" w:hAnsi="Times New Roman" w:eastAsia="FangSong"/>
          <w:b w:val="0"/>
          <w:color w:val="000000"/>
          <w:sz w:val="32"/>
        </w:rPr>
        <w:t>本基金不直接从事生产制造，其“技术方案”体现为专业化的投资管理体系：</w:t>
        <w:br/>
        <w:t>1. 项目筛选系统：建立基于大数据的行业图谱，实时监控产业链技术路线变迁。</w:t>
        <w:br/>
        <w:t>2. 尽职调查流程：采用“业务+财务+法律”三维尽调标准，引入第三方专业机构协助。</w:t>
        <w:br/>
        <w:t>3. 估值建模模型：运用DCF（现金流折现）、Comparable Companies（可比公司）等方法进行精准估值。</w:t>
      </w:r>
    </w:p>
    <w:p>
      <w:pPr>
        <w:spacing w:line="560" w:lineRule="exact" w:before="0" w:after="0"/>
        <w:ind w:firstLine="480"/>
      </w:pPr>
      <w:r>
        <w:rPr>
          <w:rFonts w:ascii="Times New Roman" w:hAnsi="Times New Roman" w:eastAsia="FangSong"/>
          <w:b w:val="0"/>
          <w:color w:val="000000"/>
          <w:sz w:val="32"/>
        </w:rPr>
        <w:t>第二节 信息化管理平台</w:t>
      </w:r>
    </w:p>
    <w:p>
      <w:pPr>
        <w:spacing w:line="560" w:lineRule="exact" w:before="0" w:after="0"/>
        <w:ind w:firstLine="480"/>
      </w:pPr>
      <w:r>
        <w:rPr>
          <w:rFonts w:ascii="Times New Roman" w:hAnsi="Times New Roman" w:eastAsia="FangSong"/>
          <w:b w:val="0"/>
          <w:color w:val="000000"/>
          <w:sz w:val="32"/>
        </w:rPr>
        <w:t>购置专业的投资组合管理系统（PMS）及Wind/彭博终端，实现项目库管理、风险监控、净值计算的数字化。部署私有云存储系统，确保投资数据安全。</w:t>
      </w:r>
    </w:p>
    <w:p>
      <w:pPr>
        <w:spacing w:line="560" w:lineRule="exact" w:before="0" w:after="0"/>
        <w:ind w:firstLine="480"/>
      </w:pPr>
      <w:r>
        <w:rPr>
          <w:rFonts w:ascii="Times New Roman" w:hAnsi="Times New Roman" w:eastAsia="FangSong"/>
          <w:b w:val="0"/>
          <w:color w:val="000000"/>
          <w:sz w:val="32"/>
        </w:rPr>
        <w:t>第三节 办公设备配置</w:t>
      </w:r>
    </w:p>
    <w:p>
      <w:pPr>
        <w:spacing w:line="560" w:lineRule="exact" w:before="0" w:after="0"/>
        <w:ind w:firstLine="480"/>
      </w:pPr>
      <w:r>
        <w:rPr>
          <w:rFonts w:ascii="Times New Roman" w:hAnsi="Times New Roman" w:eastAsia="FangSong"/>
          <w:b w:val="0"/>
          <w:color w:val="000000"/>
          <w:sz w:val="32"/>
        </w:rPr>
        <w:t>主要设备包括高性能服务器、加密存储阵列、视频会议系统及移动办公终端。所有硬件采购均遵循政府采购或企业招标标准，确保性能稳定、安全可控。</w:t>
      </w:r>
    </w:p>
    <w:p>
      <w:pPr>
        <w:spacing w:line="560" w:lineRule="exact" w:before="520" w:after="200"/>
      </w:pPr>
      <w:r>
        <w:rPr>
          <w:rFonts w:ascii="Times New Roman" w:hAnsi="Times New Roman" w:eastAsia="SimHei"/>
          <w:b/>
          <w:color w:val="000000"/>
          <w:sz w:val="32"/>
        </w:rPr>
        <w:t>第六章 原材料及燃料动力供应</w:t>
      </w:r>
    </w:p>
    <w:p>
      <w:pPr>
        <w:spacing w:line="560" w:lineRule="exact" w:before="0" w:after="0"/>
        <w:ind w:firstLine="480"/>
      </w:pPr>
      <w:r>
        <w:rPr>
          <w:rFonts w:ascii="Times New Roman" w:hAnsi="Times New Roman" w:eastAsia="FangSong"/>
          <w:b w:val="0"/>
          <w:color w:val="000000"/>
          <w:sz w:val="32"/>
        </w:rPr>
        <w:t>第一节 资金供应保障</w:t>
      </w:r>
    </w:p>
    <w:p>
      <w:pPr>
        <w:spacing w:line="560" w:lineRule="exact" w:before="0" w:after="0"/>
        <w:ind w:firstLine="480"/>
      </w:pPr>
      <w:r>
        <w:rPr>
          <w:rFonts w:ascii="Times New Roman" w:hAnsi="Times New Roman" w:eastAsia="FangSong"/>
          <w:b w:val="0"/>
          <w:color w:val="000000"/>
          <w:sz w:val="32"/>
        </w:rPr>
        <w:t>本基金的核心“原材料”为资金。首期实缴资金不低于总规模的30%，即3亿元，由GP及核心LP在项目备案后10个工作日内到位。剩余资金根据项目投资进度分期缴付（Capital Call）。</w:t>
      </w:r>
    </w:p>
    <w:p>
      <w:pPr>
        <w:spacing w:line="560" w:lineRule="exact" w:before="0" w:after="0"/>
        <w:ind w:firstLine="480"/>
      </w:pPr>
      <w:r>
        <w:rPr>
          <w:rFonts w:ascii="Times New Roman" w:hAnsi="Times New Roman" w:eastAsia="FangSong"/>
          <w:b w:val="0"/>
          <w:color w:val="000000"/>
          <w:sz w:val="32"/>
        </w:rPr>
        <w:t>第二节 智力资源供应</w:t>
      </w:r>
    </w:p>
    <w:p>
      <w:pPr>
        <w:spacing w:line="560" w:lineRule="exact" w:before="0" w:after="0"/>
        <w:ind w:firstLine="480"/>
      </w:pPr>
      <w:r>
        <w:rPr>
          <w:rFonts w:ascii="Times New Roman" w:hAnsi="Times New Roman" w:eastAsia="FangSong"/>
          <w:b w:val="0"/>
          <w:color w:val="000000"/>
          <w:sz w:val="32"/>
        </w:rPr>
        <w:t>基金依托{{顾问委员会名称}}作为外部智库，成员包括高校材料学教授、行业协会专家及资深投行人士，为项目技术判断提供智力支持。</w:t>
      </w:r>
    </w:p>
    <w:p>
      <w:pPr>
        <w:spacing w:line="560" w:lineRule="exact" w:before="0" w:after="0"/>
        <w:ind w:firstLine="480"/>
      </w:pPr>
      <w:r>
        <w:rPr>
          <w:rFonts w:ascii="Times New Roman" w:hAnsi="Times New Roman" w:eastAsia="FangSong"/>
          <w:b w:val="0"/>
          <w:color w:val="000000"/>
          <w:sz w:val="32"/>
        </w:rPr>
        <w:t>第三节 运营后勤保障</w:t>
      </w:r>
    </w:p>
    <w:p>
      <w:pPr>
        <w:spacing w:line="560" w:lineRule="exact" w:before="0" w:after="0"/>
        <w:ind w:firstLine="480"/>
      </w:pPr>
      <w:r>
        <w:rPr>
          <w:rFonts w:ascii="Times New Roman" w:hAnsi="Times New Roman" w:eastAsia="FangSong"/>
          <w:b w:val="0"/>
          <w:color w:val="000000"/>
          <w:sz w:val="32"/>
        </w:rPr>
        <w:t>办公所需的水、电、网络通信等公用设施由物业统一提供，供应稳定。法律服务、审计服务等外包资源已与{{律师事务所}}、{{会计师事务所}}签订长期战略合作协议。</w:t>
      </w:r>
    </w:p>
    <w:p>
      <w:pPr>
        <w:spacing w:line="560" w:lineRule="exact" w:before="520" w:after="200"/>
      </w:pPr>
      <w:r>
        <w:rPr>
          <w:rFonts w:ascii="Times New Roman" w:hAnsi="Times New Roman" w:eastAsia="SimHei"/>
          <w:b/>
          <w:color w:val="000000"/>
          <w:sz w:val="32"/>
        </w:rPr>
        <w:t>第七章 节能、节水措施</w:t>
      </w:r>
    </w:p>
    <w:p>
      <w:pPr>
        <w:spacing w:line="560" w:lineRule="exact" w:before="0" w:after="0"/>
        <w:ind w:firstLine="480"/>
      </w:pPr>
      <w:r>
        <w:rPr>
          <w:rFonts w:ascii="Times New Roman" w:hAnsi="Times New Roman" w:eastAsia="FangSong"/>
          <w:b w:val="0"/>
          <w:color w:val="000000"/>
          <w:sz w:val="32"/>
        </w:rPr>
        <w:t>第一节 能耗分析</w:t>
      </w:r>
    </w:p>
    <w:p>
      <w:pPr>
        <w:spacing w:line="560" w:lineRule="exact" w:before="0" w:after="0"/>
        <w:ind w:firstLine="480"/>
      </w:pPr>
      <w:r>
        <w:rPr>
          <w:rFonts w:ascii="Times New Roman" w:hAnsi="Times New Roman" w:eastAsia="FangSong"/>
          <w:b w:val="0"/>
          <w:color w:val="000000"/>
          <w:sz w:val="32"/>
        </w:rPr>
        <w:t>本基金属于轻资产金融服务类项目，无工业生产环节，主要能耗为办公用电及设备散热。预计年均用电量约{{年用电量}}万千瓦时，折合标准煤{{吨数}}吨，能耗极低，符合国家绿色金融导向。</w:t>
      </w:r>
    </w:p>
    <w:p>
      <w:pPr>
        <w:spacing w:line="560" w:lineRule="exact" w:before="0" w:after="0"/>
        <w:ind w:firstLine="480"/>
      </w:pPr>
      <w:r>
        <w:rPr>
          <w:rFonts w:ascii="Times New Roman" w:hAnsi="Times New Roman" w:eastAsia="FangSong"/>
          <w:b w:val="0"/>
          <w:color w:val="000000"/>
          <w:sz w:val="32"/>
        </w:rPr>
        <w:t>第二节 节能措施</w:t>
      </w:r>
    </w:p>
    <w:p>
      <w:pPr>
        <w:spacing w:line="560" w:lineRule="exact" w:before="0" w:after="0"/>
        <w:ind w:firstLine="480"/>
      </w:pPr>
      <w:r>
        <w:rPr>
          <w:rFonts w:ascii="Times New Roman" w:hAnsi="Times New Roman" w:eastAsia="FangSong"/>
          <w:b w:val="0"/>
          <w:color w:val="000000"/>
          <w:sz w:val="32"/>
        </w:rPr>
        <w:t>1. 采用LED节能照明系统及智能空调控制系统，人走灯灭，按需供冷。</w:t>
        <w:br/>
        <w:t>2. 推行无纸化办公，投资决策文件、签署协议均采用电子签名与云端归档，减少纸张消耗。</w:t>
      </w:r>
    </w:p>
    <w:p>
      <w:pPr>
        <w:spacing w:line="560" w:lineRule="exact" w:before="0" w:after="0"/>
        <w:ind w:firstLine="480"/>
      </w:pPr>
      <w:r>
        <w:rPr>
          <w:rFonts w:ascii="Times New Roman" w:hAnsi="Times New Roman" w:eastAsia="FangSong"/>
          <w:b w:val="0"/>
          <w:color w:val="000000"/>
          <w:sz w:val="32"/>
        </w:rPr>
        <w:t>第三节 节水措施</w:t>
      </w:r>
    </w:p>
    <w:p>
      <w:pPr>
        <w:spacing w:line="560" w:lineRule="exact" w:before="0" w:after="0"/>
        <w:ind w:firstLine="480"/>
      </w:pPr>
      <w:r>
        <w:rPr>
          <w:rFonts w:ascii="Times New Roman" w:hAnsi="Times New Roman" w:eastAsia="FangSong"/>
          <w:b w:val="0"/>
          <w:color w:val="000000"/>
          <w:sz w:val="32"/>
        </w:rPr>
        <w:t>办公用水主要为生活用水，采用节水型洁具，加强日常维护，杜绝跑冒滴漏。</w:t>
      </w:r>
    </w:p>
    <w:p>
      <w:pPr>
        <w:spacing w:line="560" w:lineRule="exact" w:before="520" w:after="200"/>
      </w:pPr>
      <w:r>
        <w:rPr>
          <w:rFonts w:ascii="Times New Roman" w:hAnsi="Times New Roman" w:eastAsia="SimHei"/>
          <w:b/>
          <w:color w:val="000000"/>
          <w:sz w:val="32"/>
        </w:rPr>
        <w:t>第八章 环境影响分析</w:t>
      </w:r>
    </w:p>
    <w:p>
      <w:pPr>
        <w:spacing w:line="560" w:lineRule="exact" w:before="0" w:after="0"/>
        <w:ind w:firstLine="480"/>
      </w:pPr>
      <w:r>
        <w:rPr>
          <w:rFonts w:ascii="Times New Roman" w:hAnsi="Times New Roman" w:eastAsia="FangSong"/>
          <w:b w:val="0"/>
          <w:color w:val="000000"/>
          <w:sz w:val="32"/>
        </w:rPr>
        <w:t>第一节 环境现状</w:t>
      </w:r>
    </w:p>
    <w:p>
      <w:pPr>
        <w:spacing w:line="560" w:lineRule="exact" w:before="0" w:after="0"/>
        <w:ind w:firstLine="480"/>
      </w:pPr>
      <w:r>
        <w:rPr>
          <w:rFonts w:ascii="Times New Roman" w:hAnsi="Times New Roman" w:eastAsia="FangSong"/>
          <w:b w:val="0"/>
          <w:color w:val="000000"/>
          <w:sz w:val="32"/>
        </w:rPr>
        <w:t>项目所在地为城市商业办公区，环境质量良好，无重大污染源。</w:t>
      </w:r>
    </w:p>
    <w:p>
      <w:pPr>
        <w:spacing w:line="560" w:lineRule="exact" w:before="0" w:after="0"/>
        <w:ind w:firstLine="480"/>
      </w:pPr>
      <w:r>
        <w:rPr>
          <w:rFonts w:ascii="Times New Roman" w:hAnsi="Times New Roman" w:eastAsia="FangSong"/>
          <w:b w:val="0"/>
          <w:color w:val="000000"/>
          <w:sz w:val="32"/>
        </w:rPr>
        <w:t>第二节 主要污染源及影响</w:t>
      </w:r>
    </w:p>
    <w:p>
      <w:pPr>
        <w:spacing w:line="560" w:lineRule="exact" w:before="0" w:after="0"/>
        <w:ind w:firstLine="480"/>
      </w:pPr>
      <w:r>
        <w:rPr>
          <w:rFonts w:ascii="Times New Roman" w:hAnsi="Times New Roman" w:eastAsia="FangSong"/>
          <w:b w:val="0"/>
          <w:color w:val="000000"/>
          <w:sz w:val="32"/>
        </w:rPr>
        <w:t>本项目运营期主要污染物为生活垃圾、办公废水及少量电子废弃物。无废气、工业废水及噪声排放，对周边环境几乎无负面影响。</w:t>
      </w:r>
    </w:p>
    <w:p>
      <w:pPr>
        <w:spacing w:line="560" w:lineRule="exact" w:before="0" w:after="0"/>
        <w:ind w:firstLine="480"/>
      </w:pPr>
      <w:r>
        <w:rPr>
          <w:rFonts w:ascii="Times New Roman" w:hAnsi="Times New Roman" w:eastAsia="FangSong"/>
          <w:b w:val="0"/>
          <w:color w:val="000000"/>
          <w:sz w:val="32"/>
        </w:rPr>
        <w:t>第三节 环保措施</w:t>
      </w:r>
    </w:p>
    <w:p>
      <w:pPr>
        <w:spacing w:line="560" w:lineRule="exact" w:before="0" w:after="0"/>
        <w:ind w:firstLine="480"/>
      </w:pPr>
      <w:r>
        <w:rPr>
          <w:rFonts w:ascii="Times New Roman" w:hAnsi="Times New Roman" w:eastAsia="FangSong"/>
          <w:b w:val="0"/>
          <w:color w:val="000000"/>
          <w:sz w:val="32"/>
        </w:rPr>
        <w:t>1. 生活垃圾分类收集，交由市政环卫部门统一清运。</w:t>
        <w:br/>
        <w:t>2. 办公废水排入市政污水管网，经污水处理厂集中处理。</w:t>
        <w:br/>
        <w:t>3. 废弃硒鼓、电池等电子危废交由有资质的回收机构处理。</w:t>
      </w:r>
    </w:p>
    <w:p>
      <w:pPr>
        <w:spacing w:line="560" w:lineRule="exact" w:before="0" w:after="0"/>
        <w:ind w:firstLine="480"/>
      </w:pPr>
      <w:r>
        <w:rPr>
          <w:rFonts w:ascii="Times New Roman" w:hAnsi="Times New Roman" w:eastAsia="FangSong"/>
          <w:b w:val="0"/>
          <w:color w:val="000000"/>
          <w:sz w:val="32"/>
        </w:rPr>
        <w:t>第四节 环境影响评价结论</w:t>
      </w:r>
    </w:p>
    <w:p>
      <w:pPr>
        <w:spacing w:line="560" w:lineRule="exact" w:before="0" w:after="0"/>
        <w:ind w:firstLine="480"/>
      </w:pPr>
      <w:r>
        <w:rPr>
          <w:rFonts w:ascii="Times New Roman" w:hAnsi="Times New Roman" w:eastAsia="FangSong"/>
          <w:b w:val="0"/>
          <w:color w:val="000000"/>
          <w:sz w:val="32"/>
        </w:rPr>
        <w:t>根据《建设项目环境影响评价分类管理名录》，本项目属于“其他社会服务类”，无需编制环境影响报告书/表，仅需进行环境影响登记表备案或豁免环评手续。项目符合环保要求。</w:t>
      </w:r>
    </w:p>
    <w:p>
      <w:pPr>
        <w:spacing w:line="560" w:lineRule="exact" w:before="520" w:after="200"/>
      </w:pPr>
      <w:r>
        <w:rPr>
          <w:rFonts w:ascii="Times New Roman" w:hAnsi="Times New Roman" w:eastAsia="SimHei"/>
          <w:b/>
          <w:color w:val="000000"/>
          <w:sz w:val="32"/>
        </w:rPr>
        <w:t>第九章 劳动安全卫生与消防</w:t>
      </w:r>
    </w:p>
    <w:p>
      <w:pPr>
        <w:spacing w:line="560" w:lineRule="exact" w:before="0" w:after="0"/>
        <w:ind w:firstLine="480"/>
      </w:pPr>
      <w:r>
        <w:rPr>
          <w:rFonts w:ascii="Times New Roman" w:hAnsi="Times New Roman" w:eastAsia="FangSong"/>
          <w:b w:val="0"/>
          <w:color w:val="000000"/>
          <w:sz w:val="32"/>
        </w:rPr>
        <w:t>第一节 危害因素分析</w:t>
      </w:r>
    </w:p>
    <w:p>
      <w:pPr>
        <w:spacing w:line="560" w:lineRule="exact" w:before="0" w:after="0"/>
        <w:ind w:firstLine="480"/>
      </w:pPr>
      <w:r>
        <w:rPr>
          <w:rFonts w:ascii="Times New Roman" w:hAnsi="Times New Roman" w:eastAsia="FangSong"/>
          <w:b w:val="0"/>
          <w:color w:val="000000"/>
          <w:sz w:val="32"/>
        </w:rPr>
        <w:t>项目主要风险点在于办公区域的电气火灾、人员突发疾病及网络信息安全。</w:t>
      </w:r>
    </w:p>
    <w:p>
      <w:pPr>
        <w:spacing w:line="560" w:lineRule="exact" w:before="0" w:after="0"/>
        <w:ind w:firstLine="480"/>
      </w:pPr>
      <w:r>
        <w:rPr>
          <w:rFonts w:ascii="Times New Roman" w:hAnsi="Times New Roman" w:eastAsia="FangSong"/>
          <w:b w:val="0"/>
          <w:color w:val="000000"/>
          <w:sz w:val="32"/>
        </w:rPr>
        <w:t>第二节 安全防护措施</w:t>
      </w:r>
    </w:p>
    <w:p>
      <w:pPr>
        <w:spacing w:line="560" w:lineRule="exact" w:before="0" w:after="0"/>
        <w:ind w:firstLine="480"/>
      </w:pPr>
      <w:r>
        <w:rPr>
          <w:rFonts w:ascii="Times New Roman" w:hAnsi="Times New Roman" w:eastAsia="FangSong"/>
          <w:b w:val="0"/>
          <w:color w:val="000000"/>
          <w:sz w:val="32"/>
        </w:rPr>
        <w:t>1. 建立健全信息安全防火墙，防止投资数据泄露。</w:t>
        <w:br/>
        <w:t>2. 为员工购买补充医疗保险及意外伤害险。</w:t>
        <w:br/>
        <w:t>3. 定期组织员工进行健康体检。</w:t>
      </w:r>
    </w:p>
    <w:p>
      <w:pPr>
        <w:spacing w:line="560" w:lineRule="exact" w:before="0" w:after="0"/>
        <w:ind w:firstLine="480"/>
      </w:pPr>
      <w:r>
        <w:rPr>
          <w:rFonts w:ascii="Times New Roman" w:hAnsi="Times New Roman" w:eastAsia="FangSong"/>
          <w:b w:val="0"/>
          <w:color w:val="000000"/>
          <w:sz w:val="32"/>
        </w:rPr>
        <w:t>第三节 消防设施</w:t>
      </w:r>
    </w:p>
    <w:p>
      <w:pPr>
        <w:spacing w:line="560" w:lineRule="exact" w:before="0" w:after="0"/>
        <w:ind w:firstLine="480"/>
      </w:pPr>
      <w:r>
        <w:rPr>
          <w:rFonts w:ascii="Times New Roman" w:hAnsi="Times New Roman" w:eastAsia="FangSong"/>
          <w:b w:val="0"/>
          <w:color w:val="000000"/>
          <w:sz w:val="32"/>
        </w:rPr>
        <w:t>办公场所严格按照《建筑设计防火规范》配置烟感报警器、灭火器及消防栓。定期参加物业组织的消防演练，确保全员掌握逃生技能。</w:t>
      </w:r>
    </w:p>
    <w:p>
      <w:pPr>
        <w:spacing w:line="560" w:lineRule="exact" w:before="520" w:after="200"/>
      </w:pPr>
      <w:r>
        <w:rPr>
          <w:rFonts w:ascii="Times New Roman" w:hAnsi="Times New Roman" w:eastAsia="SimHei"/>
          <w:b/>
          <w:color w:val="000000"/>
          <w:sz w:val="32"/>
        </w:rPr>
        <w:t>第十章 组织机构与人力资源配置</w:t>
      </w:r>
    </w:p>
    <w:p>
      <w:pPr>
        <w:spacing w:line="560" w:lineRule="exact" w:before="0" w:after="0"/>
        <w:ind w:firstLine="480"/>
      </w:pPr>
      <w:r>
        <w:rPr>
          <w:rFonts w:ascii="Times New Roman" w:hAnsi="Times New Roman" w:eastAsia="FangSong"/>
          <w:b w:val="0"/>
          <w:color w:val="000000"/>
          <w:sz w:val="32"/>
        </w:rPr>
        <w:t>第一节 组织架构</w:t>
      </w:r>
    </w:p>
    <w:p>
      <w:pPr>
        <w:spacing w:line="560" w:lineRule="exact" w:before="0" w:after="0"/>
        <w:ind w:firstLine="480"/>
      </w:pPr>
      <w:r>
        <w:rPr>
          <w:rFonts w:ascii="Times New Roman" w:hAnsi="Times New Roman" w:eastAsia="FangSong"/>
          <w:b w:val="0"/>
          <w:color w:val="000000"/>
          <w:sz w:val="32"/>
        </w:rPr>
        <w:t>基金实行“投资决策委员会”领导下的总经理负责制。下设四大部门：</w:t>
        <w:br/>
        <w:t>1. 投资部：负责项目挖掘、尽调及交易结构设计。</w:t>
        <w:br/>
        <w:t>2. 风控合规部：负责风险评估、合规审查及投后监控。</w:t>
        <w:br/>
        <w:t>3. 投后管理部：负责赋能被投企业、资源对接及退出执行。</w:t>
        <w:br/>
        <w:t>4. 综合财务部：负责基金核算、税务筹划及行政后勤。</w:t>
      </w:r>
    </w:p>
    <w:p>
      <w:pPr>
        <w:spacing w:line="560" w:lineRule="exact" w:before="0" w:after="0"/>
        <w:ind w:firstLine="480"/>
      </w:pPr>
      <w:r>
        <w:rPr>
          <w:rFonts w:ascii="Times New Roman" w:hAnsi="Times New Roman" w:eastAsia="FangSong"/>
          <w:b w:val="0"/>
          <w:color w:val="000000"/>
          <w:sz w:val="32"/>
        </w:rPr>
        <w:t>第二节 人力资源配置</w:t>
      </w:r>
    </w:p>
    <w:p>
      <w:pPr>
        <w:spacing w:line="560" w:lineRule="exact" w:before="0" w:after="0"/>
        <w:ind w:firstLine="480"/>
      </w:pPr>
      <w:r>
        <w:rPr>
          <w:rFonts w:ascii="Times New Roman" w:hAnsi="Times New Roman" w:eastAsia="FangSong"/>
          <w:b w:val="0"/>
          <w:color w:val="000000"/>
          <w:sz w:val="32"/>
        </w:rPr>
        <w:t>基金核心团队编制15人。其中：合伙人3名，投资总监4名，高级经理5名，风控及后台人员3名。团队成员均具备5年以上新能源行业投资或产业背景。</w:t>
      </w:r>
    </w:p>
    <w:p>
      <w:pPr>
        <w:spacing w:line="560" w:lineRule="exact" w:before="0" w:after="0"/>
        <w:ind w:firstLine="480"/>
      </w:pPr>
      <w:r>
        <w:rPr>
          <w:rFonts w:ascii="Times New Roman" w:hAnsi="Times New Roman" w:eastAsia="FangSong"/>
          <w:b w:val="0"/>
          <w:color w:val="000000"/>
          <w:sz w:val="32"/>
        </w:rPr>
        <w:t>第三节 薪酬与激励</w:t>
      </w:r>
    </w:p>
    <w:p>
      <w:pPr>
        <w:spacing w:line="560" w:lineRule="exact" w:before="0" w:after="0"/>
        <w:ind w:firstLine="480"/>
      </w:pPr>
      <w:r>
        <w:rPr>
          <w:rFonts w:ascii="Times New Roman" w:hAnsi="Times New Roman" w:eastAsia="FangSong"/>
          <w:b w:val="0"/>
          <w:color w:val="000000"/>
          <w:sz w:val="32"/>
        </w:rPr>
        <w:t>实行“基本工资+绩效奖金+Carry（超额收益分成）”的薪酬体系。GP团队享有基金超额收益的20%作为业绩报酬，以绑定长期利益。</w:t>
      </w:r>
    </w:p>
    <w:p>
      <w:pPr>
        <w:spacing w:line="560" w:lineRule="exact" w:before="520" w:after="200"/>
      </w:pPr>
      <w:r>
        <w:rPr>
          <w:rFonts w:ascii="Times New Roman" w:hAnsi="Times New Roman" w:eastAsia="SimHei"/>
          <w:b/>
          <w:color w:val="000000"/>
          <w:sz w:val="32"/>
        </w:rPr>
        <w:t>第十一章 项目实施进度</w:t>
      </w:r>
    </w:p>
    <w:p>
      <w:pPr>
        <w:spacing w:line="560" w:lineRule="exact" w:before="0" w:after="0"/>
        <w:ind w:firstLine="480"/>
      </w:pPr>
      <w:r>
        <w:rPr>
          <w:rFonts w:ascii="Times New Roman" w:hAnsi="Times New Roman" w:eastAsia="FangSong"/>
          <w:b w:val="0"/>
          <w:color w:val="000000"/>
          <w:sz w:val="32"/>
        </w:rPr>
        <w:t>第一节 建设工期</w:t>
      </w:r>
    </w:p>
    <w:p>
      <w:pPr>
        <w:spacing w:line="560" w:lineRule="exact" w:before="0" w:after="0"/>
        <w:ind w:firstLine="480"/>
      </w:pPr>
      <w:r>
        <w:rPr>
          <w:rFonts w:ascii="Times New Roman" w:hAnsi="Times New Roman" w:eastAsia="FangSong"/>
          <w:b w:val="0"/>
          <w:color w:val="000000"/>
          <w:sz w:val="32"/>
        </w:rPr>
        <w:t>本基金筹备期预计6个月，投资期3年，退出期4年，总存续期7年。</w:t>
      </w:r>
    </w:p>
    <w:p>
      <w:pPr>
        <w:spacing w:line="560" w:lineRule="exact" w:before="0" w:after="0"/>
        <w:ind w:firstLine="480"/>
      </w:pPr>
      <w:r>
        <w:rPr>
          <w:rFonts w:ascii="Times New Roman" w:hAnsi="Times New Roman" w:eastAsia="FangSong"/>
          <w:b w:val="0"/>
          <w:color w:val="000000"/>
          <w:sz w:val="32"/>
        </w:rPr>
        <w:t>第二节 实施进度安排</w:t>
      </w:r>
    </w:p>
    <w:p>
      <w:pPr>
        <w:spacing w:line="560" w:lineRule="exact" w:before="0" w:after="0"/>
        <w:ind w:firstLine="480"/>
      </w:pPr>
      <w:r>
        <w:rPr>
          <w:rFonts w:ascii="Times New Roman" w:hAnsi="Times New Roman" w:eastAsia="FangSong"/>
          <w:b w:val="0"/>
          <w:color w:val="000000"/>
          <w:sz w:val="32"/>
        </w:rPr>
        <w:t>1. 第1-3个月：完成基金方案设计、LP意向签约、工商注册及中基协备案。</w:t>
        <w:br/>
        <w:t>2. 第4-6个月：完成首期资金募集与实缴，启动首批项目储备。</w:t>
        <w:br/>
        <w:t>3. 第7-36个月（投资期）：完成8-12个优质项目的投资交割。</w:t>
        <w:br/>
        <w:t>4. 第37-84个月（退出期）：通过IPO、并购转让、S基金接力等方式逐步退出，实现资金回流。</w:t>
        <w:br/>
        <w:t>5. 第85-96个月（延长期，如有）：处理剩余非流动性资产，进行清算分配。</w:t>
      </w:r>
    </w:p>
    <w:p>
      <w:pPr>
        <w:spacing w:line="560" w:lineRule="exact" w:before="520" w:after="200"/>
      </w:pPr>
      <w:r>
        <w:rPr>
          <w:rFonts w:ascii="Times New Roman" w:hAnsi="Times New Roman" w:eastAsia="SimHei"/>
          <w:b/>
          <w:color w:val="000000"/>
          <w:sz w:val="32"/>
        </w:rPr>
        <w:t>第十二章 投资估算与资金筹措</w:t>
      </w:r>
    </w:p>
    <w:p>
      <w:pPr>
        <w:spacing w:line="560" w:lineRule="exact" w:before="0" w:after="0"/>
        <w:ind w:firstLine="480"/>
      </w:pPr>
      <w:r>
        <w:rPr>
          <w:rFonts w:ascii="Times New Roman" w:hAnsi="Times New Roman" w:eastAsia="FangSong"/>
          <w:b w:val="0"/>
          <w:color w:val="000000"/>
          <w:sz w:val="32"/>
        </w:rPr>
        <w:t>第一节 投资估算范围</w:t>
      </w:r>
    </w:p>
    <w:p>
      <w:pPr>
        <w:spacing w:line="560" w:lineRule="exact" w:before="0" w:after="0"/>
        <w:ind w:firstLine="480"/>
      </w:pPr>
      <w:r>
        <w:rPr>
          <w:rFonts w:ascii="Times New Roman" w:hAnsi="Times New Roman" w:eastAsia="FangSong"/>
          <w:b w:val="0"/>
          <w:color w:val="000000"/>
          <w:sz w:val="32"/>
        </w:rPr>
        <w:t>本基金总投资10亿元，全部用于股权投资本金。此外，需估算基金运营费用（管理费、托管费、中介费等）。</w:t>
      </w:r>
    </w:p>
    <w:p>
      <w:pPr>
        <w:spacing w:line="560" w:lineRule="exact" w:before="0" w:after="0"/>
        <w:ind w:firstLine="480"/>
      </w:pPr>
      <w:r>
        <w:rPr>
          <w:rFonts w:ascii="Times New Roman" w:hAnsi="Times New Roman" w:eastAsia="FangSong"/>
          <w:b w:val="0"/>
          <w:color w:val="000000"/>
          <w:sz w:val="32"/>
        </w:rPr>
        <w:t>第二节 管理费用估算</w:t>
      </w:r>
    </w:p>
    <w:p>
      <w:pPr>
        <w:spacing w:line="560" w:lineRule="exact" w:before="0" w:after="0"/>
        <w:ind w:firstLine="480"/>
      </w:pPr>
      <w:r>
        <w:rPr>
          <w:rFonts w:ascii="Times New Roman" w:hAnsi="Times New Roman" w:eastAsia="FangSong"/>
          <w:b w:val="0"/>
          <w:color w:val="000000"/>
          <w:sz w:val="32"/>
        </w:rPr>
        <w:t>1. 管理费：按实缴出资额的2%/年收取，主要用于团队薪酬及日常运营。预计7年累计管理费约1.2亿元。</w:t>
        <w:br/>
        <w:t>2. 托管费：按0.1%/年支付给托管银行。</w:t>
        <w:br/>
        <w:t>3. 中介机构费：包括审计、法律、尽调费用，预计累计2000万元。</w:t>
      </w:r>
    </w:p>
    <w:p>
      <w:pPr>
        <w:spacing w:line="560" w:lineRule="exact" w:before="0" w:after="0"/>
        <w:ind w:firstLine="480"/>
      </w:pPr>
      <w:r>
        <w:rPr>
          <w:rFonts w:ascii="Times New Roman" w:hAnsi="Times New Roman" w:eastAsia="FangSong"/>
          <w:b w:val="0"/>
          <w:color w:val="000000"/>
          <w:sz w:val="32"/>
        </w:rPr>
        <w:t>第三节 资金筹措方案</w:t>
      </w:r>
    </w:p>
    <w:p>
      <w:pPr>
        <w:spacing w:line="560" w:lineRule="exact" w:before="0" w:after="0"/>
        <w:ind w:firstLine="480"/>
      </w:pPr>
      <w:r>
        <w:rPr>
          <w:rFonts w:ascii="Times New Roman" w:hAnsi="Times New Roman" w:eastAsia="FangSong"/>
          <w:b w:val="0"/>
          <w:color w:val="000000"/>
          <w:sz w:val="32"/>
        </w:rPr>
        <w:t>1. GP出资：10%（1亿元），承担无限连带责任。</w:t>
        <w:br/>
        <w:t>2. LP出资：90%（9亿元），包括{{引导基金}}3亿元、{{产业资本}}4亿元、{{社会资本}}2亿元。</w:t>
        <w:br/>
        <w:t>3. 资金到位计划：首期30%，后续根据投资进度分期到位。</w:t>
      </w:r>
    </w:p>
    <w:p>
      <w:pPr>
        <w:spacing w:line="560" w:lineRule="exact" w:before="520" w:after="200"/>
      </w:pPr>
      <w:r>
        <w:rPr>
          <w:rFonts w:ascii="Times New Roman" w:hAnsi="Times New Roman" w:eastAsia="SimHei"/>
          <w:b/>
          <w:color w:val="000000"/>
          <w:sz w:val="32"/>
        </w:rPr>
        <w:t>第十三章 财务分析</w:t>
      </w:r>
    </w:p>
    <w:p>
      <w:pPr>
        <w:spacing w:line="560" w:lineRule="exact" w:before="0" w:after="0"/>
        <w:ind w:firstLine="480"/>
      </w:pPr>
      <w:r>
        <w:rPr>
          <w:rFonts w:ascii="Times New Roman" w:hAnsi="Times New Roman" w:eastAsia="FangSong"/>
          <w:b w:val="0"/>
          <w:color w:val="000000"/>
          <w:sz w:val="32"/>
        </w:rPr>
        <w:t>第一节 基本财务假设</w:t>
      </w:r>
    </w:p>
    <w:p>
      <w:pPr>
        <w:spacing w:line="560" w:lineRule="exact" w:before="0" w:after="0"/>
        <w:ind w:firstLine="480"/>
      </w:pPr>
      <w:r>
        <w:rPr>
          <w:rFonts w:ascii="Times New Roman" w:hAnsi="Times New Roman" w:eastAsia="FangSong"/>
          <w:b w:val="0"/>
          <w:color w:val="000000"/>
          <w:sz w:val="32"/>
        </w:rPr>
        <w:t>基于对新能源赛道历史回报率的复盘，设定以下测算假设：</w:t>
        <w:br/>
        <w:t>1. 投资回报率：假设组合项目平均退出倍数为2.5倍（MOIC）。</w:t>
        <w:br/>
        <w:t>2. 退出节奏：第4年开始退出，第5-6年为退出高峰，第7年收尾。</w:t>
        <w:br/>
        <w:t>3. 税率：增值税及附加按国家规定，所得税率为25%（若为合伙企业穿透纳税则另计，此处按公司制或保守估算）。</w:t>
        <w:br/>
        <w:t>4. 管理费及运营成本：按前述第十二章估算计入现金流出。</w:t>
      </w:r>
    </w:p>
    <w:p>
      <w:pPr>
        <w:spacing w:line="560" w:lineRule="exact" w:before="0" w:after="0"/>
        <w:ind w:firstLine="480"/>
      </w:pPr>
      <w:r>
        <w:rPr>
          <w:rFonts w:ascii="Times New Roman" w:hAnsi="Times New Roman" w:eastAsia="FangSong"/>
          <w:b w:val="0"/>
          <w:color w:val="000000"/>
          <w:sz w:val="32"/>
        </w:rPr>
        <w:t>第二节 盈利能力分析</w:t>
      </w:r>
    </w:p>
    <w:p>
      <w:pPr>
        <w:spacing w:line="560" w:lineRule="exact" w:before="0" w:after="0"/>
        <w:ind w:firstLine="480"/>
      </w:pPr>
      <w:r>
        <w:rPr>
          <w:rFonts w:ascii="Times New Roman" w:hAnsi="Times New Roman" w:eastAsia="FangSong"/>
          <w:b w:val="0"/>
          <w:color w:val="000000"/>
          <w:sz w:val="32"/>
        </w:rPr>
        <w:t>经系统测算（详见财务模型表），本基金内部收益率（FIRR）预计高于行业基准收益率（10%）。财务净现值（FNPV）大于零，表明项目在扣除资金成本后能创造显著价值。静态投资回收期预计为5.5年左右，符合股权投资基金“J曲线”回报特征。</w:t>
      </w:r>
    </w:p>
    <w:p>
      <w:pPr>
        <w:spacing w:line="560" w:lineRule="exact" w:before="0" w:after="0"/>
        <w:ind w:firstLine="480"/>
      </w:pPr>
      <w:r>
        <w:rPr>
          <w:rFonts w:ascii="Times New Roman" w:hAnsi="Times New Roman" w:eastAsia="FangSong"/>
          <w:b w:val="0"/>
          <w:color w:val="000000"/>
          <w:sz w:val="32"/>
        </w:rPr>
        <w:t>第三节 偿债能力与流动性</w:t>
      </w:r>
    </w:p>
    <w:p>
      <w:pPr>
        <w:spacing w:line="560" w:lineRule="exact" w:before="0" w:after="0"/>
        <w:ind w:firstLine="480"/>
      </w:pPr>
      <w:r>
        <w:rPr>
          <w:rFonts w:ascii="Times New Roman" w:hAnsi="Times New Roman" w:eastAsia="FangSong"/>
          <w:b w:val="0"/>
          <w:color w:val="000000"/>
          <w:sz w:val="32"/>
        </w:rPr>
        <w:t>基金本身无对外债务融资，不存在还本付息压力。关键在于保持充足的流动性以支付管理费及应对LP的分配需求。通过合理的退出节奏安排，DSCR（偿债备付率）指标保持健康。</w:t>
      </w:r>
    </w:p>
    <w:p>
      <w:pPr>
        <w:spacing w:line="560" w:lineRule="exact" w:before="0" w:after="0"/>
        <w:ind w:firstLine="480"/>
      </w:pPr>
      <w:r>
        <w:rPr>
          <w:rFonts w:ascii="Times New Roman" w:hAnsi="Times New Roman" w:eastAsia="FangSong"/>
          <w:b w:val="0"/>
          <w:color w:val="000000"/>
          <w:sz w:val="32"/>
        </w:rPr>
        <w:t>第四节 不确定性分析</w:t>
      </w:r>
    </w:p>
    <w:p>
      <w:pPr>
        <w:spacing w:line="560" w:lineRule="exact" w:before="0" w:after="0"/>
        <w:ind w:firstLine="480"/>
      </w:pPr>
      <w:r>
        <w:rPr>
          <w:rFonts w:ascii="Times New Roman" w:hAnsi="Times New Roman" w:eastAsia="FangSong"/>
          <w:b w:val="0"/>
          <w:color w:val="000000"/>
          <w:sz w:val="32"/>
        </w:rPr>
        <w:t>1. 盈亏平衡分析：当项目平均退出倍数降至1.8倍时，基金刚好覆盖本金及管理成本，安全边际较高。</w:t>
        <w:br/>
        <w:t>2. 敏感性分析：对项目退出倍数和管理费率进行±10%敏感性测试。结果显示，退出倍数对IRR影响最为敏感，其次为退出时间早晚。建议重点加强投后赋能以提升退出估值。</w:t>
      </w:r>
    </w:p>
    <w:p>
      <w:pPr>
        <w:spacing w:line="560" w:lineRule="exact" w:before="0" w:after="0"/>
        <w:ind w:firstLine="480"/>
      </w:pPr>
      <w:r>
        <w:rPr>
          <w:rFonts w:ascii="Times New Roman" w:hAnsi="Times New Roman" w:eastAsia="FangSong"/>
          <w:b w:val="0"/>
          <w:color w:val="000000"/>
          <w:sz w:val="32"/>
        </w:rPr>
        <w:t>第五节 财务评价结论</w:t>
      </w:r>
    </w:p>
    <w:p>
      <w:pPr>
        <w:spacing w:line="560" w:lineRule="exact" w:before="0" w:after="0"/>
        <w:ind w:firstLine="480"/>
      </w:pPr>
      <w:r>
        <w:rPr>
          <w:rFonts w:ascii="Times New Roman" w:hAnsi="Times New Roman" w:eastAsia="FangSong"/>
          <w:b w:val="0"/>
          <w:color w:val="000000"/>
          <w:sz w:val="32"/>
        </w:rPr>
        <w:t>综上所述，本基金预期收益良好，风险可控，财务上可行。</w:t>
      </w:r>
    </w:p>
    <w:p>
      <w:pPr>
        <w:spacing w:line="560" w:lineRule="exact" w:before="520" w:after="200"/>
      </w:pPr>
      <w:r>
        <w:rPr>
          <w:rFonts w:ascii="Times New Roman" w:hAnsi="Times New Roman" w:eastAsia="SimHei"/>
          <w:b/>
          <w:color w:val="000000"/>
          <w:sz w:val="32"/>
        </w:rPr>
        <w:t>财务测算指标</w:t>
      </w:r>
    </w:p>
    <w:p>
      <w:pPr>
        <w:spacing w:line="560" w:lineRule="exact" w:before="280" w:after="120"/>
      </w:pPr>
      <w:r>
        <w:rPr>
          <w:rFonts w:ascii="Times New Roman" w:hAnsi="Times New Roman" w:eastAsia="KaiTi"/>
          <w:b w:val="0"/>
          <w:color w:val="000000"/>
          <w:sz w:val="32"/>
        </w:rPr>
        <w:t>（一）投资估算</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FangSong" w:ascii="Times New Roman" w:hAnsi="Times New Roman"/>
                <w:b/>
                <w:color w:val="111827"/>
                <w:sz w:val="21"/>
              </w:rPr>
              <w:t>投资构成</w:t>
            </w:r>
          </w:p>
        </w:tc>
        <w:tc>
          <w:tcPr>
            <w:tcW w:type="dxa" w:w="2929"/>
          </w:tcPr>
          <w:p>
            <w:pPr>
              <w:jc w:val="center"/>
            </w:pPr>
            <w:r/>
            <w:r>
              <w:rPr>
                <w:rFonts w:eastAsia="FangSong" w:ascii="Times New Roman" w:hAnsi="Times New Roman"/>
                <w:b/>
                <w:color w:val="111827"/>
                <w:sz w:val="21"/>
              </w:rPr>
              <w:t>金额</w:t>
            </w:r>
          </w:p>
        </w:tc>
        <w:tc>
          <w:tcPr>
            <w:tcW w:type="dxa" w:w="2929"/>
          </w:tcPr>
          <w:p>
            <w:pPr>
              <w:jc w:val="center"/>
            </w:pPr>
            <w:r/>
            <w:r>
              <w:rPr>
                <w:rFonts w:eastAsia="FangSong" w:ascii="Times New Roman" w:hAnsi="Times New Roman"/>
                <w:b/>
                <w:color w:val="111827"/>
                <w:sz w:val="21"/>
              </w:rPr>
              <w:t>占总投资比例</w:t>
            </w:r>
          </w:p>
        </w:tc>
      </w:tr>
      <w:tr>
        <w:tc>
          <w:tcPr>
            <w:tcW w:type="dxa" w:w="2929"/>
          </w:tcPr>
          <w:p>
            <w:pPr>
              <w:jc w:val="left"/>
            </w:pPr>
            <w:r/>
            <w:r>
              <w:rPr>
                <w:rFonts w:eastAsia="FangSong" w:ascii="Times New Roman" w:hAnsi="Times New Roman"/>
                <w:color w:val="4B5563"/>
                <w:sz w:val="18"/>
              </w:rPr>
              <w:t>股权投资本金</w:t>
            </w:r>
          </w:p>
        </w:tc>
        <w:tc>
          <w:tcPr>
            <w:tcW w:type="dxa" w:w="2929"/>
          </w:tcPr>
          <w:p>
            <w:pPr>
              <w:jc w:val="right"/>
            </w:pPr>
            <w:r/>
            <w:r>
              <w:rPr>
                <w:rFonts w:eastAsia="FangSong" w:ascii="Times New Roman" w:hAnsi="Times New Roman"/>
                <w:color w:val="4B5563"/>
                <w:sz w:val="18"/>
              </w:rPr>
              <w:t>100,000.00</w:t>
            </w:r>
          </w:p>
        </w:tc>
        <w:tc>
          <w:tcPr>
            <w:tcW w:type="dxa" w:w="2929"/>
          </w:tcPr>
          <w:p>
            <w:pPr>
              <w:jc w:val="right"/>
            </w:pPr>
            <w:r/>
            <w:r>
              <w:rPr>
                <w:rFonts w:eastAsia="FangSong" w:ascii="Times New Roman" w:hAnsi="Times New Roman"/>
                <w:color w:val="4B5563"/>
                <w:sz w:val="18"/>
              </w:rPr>
              <w:t>100.00%</w:t>
            </w:r>
          </w:p>
        </w:tc>
      </w:tr>
      <w:tr>
        <w:tc>
          <w:tcPr>
            <w:tcW w:type="dxa" w:w="2929"/>
          </w:tcPr>
          <w:p>
            <w:pPr>
              <w:jc w:val="left"/>
            </w:pPr>
            <w:r/>
            <w:r>
              <w:rPr>
                <w:rFonts w:eastAsia="FangSong" w:ascii="Times New Roman" w:hAnsi="Times New Roman"/>
                <w:color w:val="4B5563"/>
                <w:sz w:val="18"/>
              </w:rPr>
              <w:t>运营管理费用</w:t>
            </w:r>
          </w:p>
        </w:tc>
        <w:tc>
          <w:tcPr>
            <w:tcW w:type="dxa" w:w="2929"/>
          </w:tcPr>
          <w:p>
            <w:pPr>
              <w:jc w:val="right"/>
            </w:pPr>
            <w:r/>
            <w:r>
              <w:rPr>
                <w:rFonts w:eastAsia="FangSong" w:ascii="Times New Roman" w:hAnsi="Times New Roman"/>
                <w:color w:val="4B5563"/>
                <w:sz w:val="18"/>
              </w:rPr>
              <w:t>14,000.00</w:t>
            </w:r>
          </w:p>
        </w:tc>
        <w:tc>
          <w:tcPr>
            <w:tcW w:type="dxa" w:w="2929"/>
          </w:tcPr>
          <w:p>
            <w:pPr>
              <w:jc w:val="right"/>
            </w:pPr>
            <w:r/>
            <w:r>
              <w:rPr>
                <w:rFonts w:eastAsia="FangSong" w:ascii="Times New Roman" w:hAnsi="Times New Roman"/>
                <w:color w:val="4B5563"/>
                <w:sz w:val="18"/>
              </w:rPr>
              <w:t>14.00%</w:t>
            </w:r>
          </w:p>
        </w:tc>
      </w:tr>
      <w:tr>
        <w:tc>
          <w:tcPr>
            <w:tcW w:type="dxa" w:w="2929"/>
          </w:tcPr>
          <w:p>
            <w:pPr>
              <w:jc w:val="left"/>
            </w:pPr>
            <w:r/>
            <w:r>
              <w:rPr>
                <w:rFonts w:eastAsia="FangSong" w:ascii="Times New Roman" w:hAnsi="Times New Roman"/>
                <w:color w:val="4B5563"/>
                <w:sz w:val="18"/>
              </w:rPr>
              <w:t>其他开办费</w:t>
            </w:r>
          </w:p>
        </w:tc>
        <w:tc>
          <w:tcPr>
            <w:tcW w:type="dxa" w:w="2929"/>
          </w:tcPr>
          <w:p>
            <w:pPr>
              <w:jc w:val="right"/>
            </w:pPr>
            <w:r/>
            <w:r>
              <w:rPr>
                <w:rFonts w:eastAsia="FangSong" w:ascii="Times New Roman" w:hAnsi="Times New Roman"/>
                <w:color w:val="4B5563"/>
                <w:sz w:val="18"/>
              </w:rPr>
              <w:t>500.00</w:t>
            </w:r>
          </w:p>
        </w:tc>
        <w:tc>
          <w:tcPr>
            <w:tcW w:type="dxa" w:w="2929"/>
          </w:tcPr>
          <w:p>
            <w:pPr>
              <w:jc w:val="right"/>
            </w:pPr>
            <w:r/>
            <w:r>
              <w:rPr>
                <w:rFonts w:eastAsia="FangSong" w:ascii="Times New Roman" w:hAnsi="Times New Roman"/>
                <w:color w:val="4B5563"/>
                <w:sz w:val="18"/>
              </w:rPr>
              <w:t>0.50%</w:t>
            </w:r>
          </w:p>
        </w:tc>
      </w:tr>
      <w:tr>
        <w:tc>
          <w:tcPr>
            <w:tcW w:type="dxa" w:w="2929"/>
          </w:tcPr>
          <w:p>
            <w:pPr>
              <w:jc w:val="left"/>
            </w:pPr>
            <w:r/>
            <w:r>
              <w:rPr>
                <w:rFonts w:eastAsia="FangSong" w:ascii="Times New Roman" w:hAnsi="Times New Roman"/>
                <w:color w:val="4B5563"/>
                <w:sz w:val="18"/>
              </w:rPr>
              <w:t>合计</w:t>
            </w:r>
          </w:p>
        </w:tc>
        <w:tc>
          <w:tcPr>
            <w:tcW w:type="dxa" w:w="2929"/>
          </w:tcPr>
          <w:p>
            <w:pPr>
              <w:jc w:val="right"/>
            </w:pPr>
            <w:r/>
            <w:r>
              <w:rPr>
                <w:rFonts w:eastAsia="FangSong" w:ascii="Times New Roman" w:hAnsi="Times New Roman"/>
                <w:color w:val="4B5563"/>
                <w:sz w:val="18"/>
              </w:rPr>
              <w:t>114,500.00</w:t>
            </w:r>
          </w:p>
        </w:tc>
        <w:tc>
          <w:tcPr>
            <w:tcW w:type="dxa" w:w="2929"/>
          </w:tcPr>
          <w:p>
            <w:pPr>
              <w:jc w:val="right"/>
            </w:pPr>
            <w:r/>
            <w:r>
              <w:rPr>
                <w:rFonts w:eastAsia="FangSong" w:ascii="Times New Roman" w:hAnsi="Times New Roman"/>
                <w:color w:val="4B5563"/>
                <w:sz w:val="18"/>
              </w:rPr>
              <w:t>114.50%</w:t>
            </w:r>
          </w:p>
        </w:tc>
      </w:tr>
    </w:tbl>
    <w:p>
      <w:pPr>
        <w:spacing w:line="560" w:lineRule="exact" w:before="280" w:after="120"/>
      </w:pPr>
      <w:r>
        <w:rPr>
          <w:rFonts w:ascii="Times New Roman" w:hAnsi="Times New Roman" w:eastAsia="KaiTi"/>
          <w:b w:val="0"/>
          <w:color w:val="000000"/>
          <w:sz w:val="32"/>
        </w:rPr>
        <w:t>（二）主要财务评价指标</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FangSong" w:ascii="Times New Roman" w:hAnsi="Times New Roman"/>
                <w:b/>
                <w:color w:val="111827"/>
                <w:sz w:val="21"/>
              </w:rPr>
              <w:t>财务评价指标</w:t>
            </w:r>
          </w:p>
        </w:tc>
        <w:tc>
          <w:tcPr>
            <w:tcW w:type="dxa" w:w="2929"/>
          </w:tcPr>
          <w:p>
            <w:pPr>
              <w:jc w:val="center"/>
            </w:pPr>
            <w:r/>
            <w:r>
              <w:rPr>
                <w:rFonts w:eastAsia="FangSong" w:ascii="Times New Roman" w:hAnsi="Times New Roman"/>
                <w:b/>
                <w:color w:val="111827"/>
                <w:sz w:val="21"/>
              </w:rPr>
              <w:t>税前</w:t>
            </w:r>
          </w:p>
        </w:tc>
        <w:tc>
          <w:tcPr>
            <w:tcW w:type="dxa" w:w="2929"/>
          </w:tcPr>
          <w:p>
            <w:pPr>
              <w:jc w:val="center"/>
            </w:pPr>
            <w:r/>
            <w:r>
              <w:rPr>
                <w:rFonts w:eastAsia="FangSong" w:ascii="Times New Roman" w:hAnsi="Times New Roman"/>
                <w:b/>
                <w:color w:val="111827"/>
                <w:sz w:val="21"/>
              </w:rPr>
              <w:t>税后</w:t>
            </w:r>
          </w:p>
        </w:tc>
      </w:tr>
      <w:tr>
        <w:tc>
          <w:tcPr>
            <w:tcW w:type="dxa" w:w="2929"/>
          </w:tcPr>
          <w:p>
            <w:pPr>
              <w:jc w:val="left"/>
            </w:pPr>
            <w:r/>
            <w:r>
              <w:rPr>
                <w:rFonts w:eastAsia="FangSong" w:ascii="Times New Roman" w:hAnsi="Times New Roman"/>
                <w:color w:val="4B5563"/>
                <w:sz w:val="18"/>
              </w:rPr>
              <w:t>项目财务内部收益率 FIRR</w:t>
            </w:r>
          </w:p>
        </w:tc>
        <w:tc>
          <w:tcPr>
            <w:tcW w:type="dxa" w:w="2929"/>
          </w:tcPr>
          <w:p>
            <w:pPr>
              <w:jc w:val="right"/>
            </w:pPr>
            <w:r/>
            <w:r>
              <w:rPr>
                <w:rFonts w:eastAsia="FangSong" w:ascii="Times New Roman" w:hAnsi="Times New Roman"/>
                <w:color w:val="4B5563"/>
                <w:sz w:val="18"/>
              </w:rPr>
              <w:t>20.61%</w:t>
            </w:r>
          </w:p>
        </w:tc>
        <w:tc>
          <w:tcPr>
            <w:tcW w:type="dxa" w:w="2929"/>
          </w:tcPr>
          <w:p>
            <w:pPr>
              <w:jc w:val="right"/>
            </w:pPr>
            <w:r/>
            <w:r>
              <w:rPr>
                <w:rFonts w:eastAsia="FangSong" w:ascii="Times New Roman" w:hAnsi="Times New Roman"/>
                <w:color w:val="4B5563"/>
                <w:sz w:val="18"/>
              </w:rPr>
              <w:t>16.58%</w:t>
            </w:r>
          </w:p>
        </w:tc>
      </w:tr>
      <w:tr>
        <w:tc>
          <w:tcPr>
            <w:tcW w:type="dxa" w:w="2929"/>
          </w:tcPr>
          <w:p>
            <w:pPr>
              <w:jc w:val="left"/>
            </w:pPr>
            <w:r/>
            <w:r>
              <w:rPr>
                <w:rFonts w:eastAsia="FangSong" w:ascii="Times New Roman" w:hAnsi="Times New Roman"/>
                <w:color w:val="4B5563"/>
                <w:sz w:val="18"/>
              </w:rPr>
              <w:t>财务净现值 FNPV（万元）</w:t>
            </w:r>
          </w:p>
        </w:tc>
        <w:tc>
          <w:tcPr>
            <w:tcW w:type="dxa" w:w="2929"/>
          </w:tcPr>
          <w:p>
            <w:pPr>
              <w:jc w:val="right"/>
            </w:pPr>
            <w:r/>
            <w:r>
              <w:rPr>
                <w:rFonts w:eastAsia="FangSong" w:ascii="Times New Roman" w:hAnsi="Times New Roman"/>
                <w:color w:val="4B5563"/>
                <w:sz w:val="18"/>
              </w:rPr>
              <w:t>80,570.30</w:t>
            </w:r>
          </w:p>
        </w:tc>
        <w:tc>
          <w:tcPr>
            <w:tcW w:type="dxa" w:w="2929"/>
          </w:tcPr>
          <w:p>
            <w:pPr>
              <w:jc w:val="right"/>
            </w:pPr>
            <w:r/>
            <w:r>
              <w:rPr>
                <w:rFonts w:eastAsia="FangSong" w:ascii="Times New Roman" w:hAnsi="Times New Roman"/>
                <w:color w:val="4B5563"/>
                <w:sz w:val="18"/>
              </w:rPr>
              <w:t>64,024.66</w:t>
            </w:r>
          </w:p>
        </w:tc>
      </w:tr>
      <w:tr>
        <w:tc>
          <w:tcPr>
            <w:tcW w:type="dxa" w:w="2929"/>
          </w:tcPr>
          <w:p>
            <w:pPr>
              <w:jc w:val="left"/>
            </w:pPr>
            <w:r/>
            <w:r>
              <w:rPr>
                <w:rFonts w:eastAsia="FangSong" w:ascii="Times New Roman" w:hAnsi="Times New Roman"/>
                <w:color w:val="4B5563"/>
                <w:sz w:val="18"/>
              </w:rPr>
              <w:t>投资回收期（含建设期）</w:t>
            </w:r>
          </w:p>
        </w:tc>
        <w:tc>
          <w:tcPr>
            <w:tcW w:type="dxa" w:w="2929"/>
          </w:tcPr>
          <w:p>
            <w:pPr>
              <w:jc w:val="right"/>
            </w:pPr>
            <w:r/>
            <w:r>
              <w:rPr>
                <w:rFonts w:eastAsia="FangSong" w:ascii="Times New Roman" w:hAnsi="Times New Roman"/>
                <w:color w:val="4B5563"/>
                <w:sz w:val="18"/>
              </w:rPr>
              <w:t>6.78 年</w:t>
            </w:r>
          </w:p>
        </w:tc>
        <w:tc>
          <w:tcPr>
            <w:tcW w:type="dxa" w:w="2929"/>
          </w:tcPr>
          <w:p>
            <w:pPr>
              <w:jc w:val="right"/>
            </w:pPr>
            <w:r/>
            <w:r>
              <w:rPr>
                <w:rFonts w:eastAsia="FangSong" w:ascii="Times New Roman" w:hAnsi="Times New Roman"/>
                <w:color w:val="4B5563"/>
                <w:sz w:val="18"/>
              </w:rPr>
              <w:t>7.53 年（动态）</w:t>
            </w:r>
          </w:p>
        </w:tc>
      </w:tr>
      <w:tr>
        <w:tc>
          <w:tcPr>
            <w:tcW w:type="dxa" w:w="2929"/>
          </w:tcPr>
          <w:p>
            <w:pPr>
              <w:jc w:val="left"/>
            </w:pPr>
            <w:r/>
            <w:r>
              <w:rPr>
                <w:rFonts w:eastAsia="FangSong" w:ascii="Times New Roman" w:hAnsi="Times New Roman"/>
                <w:color w:val="4B5563"/>
                <w:sz w:val="18"/>
              </w:rPr>
              <w:t>总投资利润率</w:t>
            </w:r>
          </w:p>
        </w:tc>
        <w:tc>
          <w:tcPr>
            <w:tcW w:type="dxa" w:w="2929"/>
          </w:tcPr>
          <w:p>
            <w:pPr>
              <w:jc w:val="right"/>
            </w:pPr>
            <w:r/>
            <w:r>
              <w:rPr>
                <w:rFonts w:eastAsia="FangSong" w:ascii="Times New Roman" w:hAnsi="Times New Roman"/>
                <w:color w:val="4B5563"/>
                <w:sz w:val="18"/>
              </w:rPr>
              <w:t>37.71%</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利息备付率 ICR</w:t>
            </w:r>
          </w:p>
        </w:tc>
        <w:tc>
          <w:tcPr>
            <w:tcW w:type="dxa" w:w="2929"/>
          </w:tcPr>
          <w:p>
            <w:pPr>
              <w:jc w:val="right"/>
            </w:pPr>
            <w:r/>
            <w:r>
              <w:rPr>
                <w:rFonts w:eastAsia="FangSong" w:ascii="Times New Roman" w:hAnsi="Times New Roman"/>
                <w:color w:val="4B5563"/>
                <w:sz w:val="18"/>
              </w:rPr>
              <w:t>—</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偿债备付率 DSCR</w:t>
            </w:r>
          </w:p>
        </w:tc>
        <w:tc>
          <w:tcPr>
            <w:tcW w:type="dxa" w:w="2929"/>
          </w:tcPr>
          <w:p>
            <w:pPr>
              <w:jc w:val="right"/>
            </w:pPr>
            <w:r/>
            <w:r>
              <w:rPr>
                <w:rFonts w:eastAsia="FangSong" w:ascii="Times New Roman" w:hAnsi="Times New Roman"/>
                <w:color w:val="4B5563"/>
                <w:sz w:val="18"/>
              </w:rPr>
              <w:t>—</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盈亏平衡点（产能利用率）</w:t>
            </w:r>
          </w:p>
        </w:tc>
        <w:tc>
          <w:tcPr>
            <w:tcW w:type="dxa" w:w="2929"/>
          </w:tcPr>
          <w:p>
            <w:pPr>
              <w:jc w:val="right"/>
            </w:pPr>
            <w:r/>
            <w:r>
              <w:rPr>
                <w:rFonts w:eastAsia="FangSong" w:ascii="Times New Roman" w:hAnsi="Times New Roman"/>
                <w:color w:val="4B5563"/>
                <w:sz w:val="18"/>
              </w:rPr>
              <w:t>1.33%</w:t>
            </w:r>
          </w:p>
        </w:tc>
        <w:tc>
          <w:tcPr>
            <w:tcW w:type="dxa" w:w="2929"/>
          </w:tcPr>
          <w:p>
            <w:pPr>
              <w:jc w:val="right"/>
            </w:pPr>
            <w:r/>
            <w:r>
              <w:rPr>
                <w:rFonts w:eastAsia="FangSong" w:ascii="Times New Roman" w:hAnsi="Times New Roman"/>
                <w:color w:val="4B5563"/>
                <w:sz w:val="18"/>
              </w:rPr>
              <w:t>—</w:t>
            </w:r>
          </w:p>
        </w:tc>
      </w:tr>
    </w:tbl>
    <w:p>
      <w:pPr>
        <w:spacing w:line="560" w:lineRule="exact" w:before="280" w:after="120"/>
      </w:pPr>
      <w:r>
        <w:rPr>
          <w:rFonts w:ascii="Times New Roman" w:hAnsi="Times New Roman" w:eastAsia="KaiTi"/>
          <w:b w:val="0"/>
          <w:color w:val="000000"/>
          <w:sz w:val="32"/>
        </w:rPr>
        <w:t>（三）敏感性分析</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1465"/>
        <w:gridCol w:w="1465"/>
        <w:gridCol w:w="1465"/>
        <w:gridCol w:w="1465"/>
        <w:gridCol w:w="1465"/>
        <w:gridCol w:w="1465"/>
      </w:tblGrid>
      <w:tr>
        <w:tc>
          <w:tcPr>
            <w:tcW w:type="dxa" w:w="1465"/>
          </w:tcPr>
          <w:p>
            <w:pPr>
              <w:jc w:val="center"/>
            </w:pPr>
            <w:r/>
            <w:r>
              <w:rPr>
                <w:rFonts w:eastAsia="FangSong" w:ascii="Times New Roman" w:hAnsi="Times New Roman"/>
                <w:b/>
                <w:color w:val="111827"/>
                <w:sz w:val="21"/>
              </w:rPr>
              <w:t>变动因素</w:t>
            </w:r>
          </w:p>
        </w:tc>
        <w:tc>
          <w:tcPr>
            <w:tcW w:type="dxa" w:w="1465"/>
          </w:tcPr>
          <w:p>
            <w:pPr>
              <w:jc w:val="center"/>
            </w:pPr>
            <w:r/>
            <w:r>
              <w:rPr>
                <w:rFonts w:eastAsia="FangSong" w:ascii="Times New Roman" w:hAnsi="Times New Roman"/>
                <w:b/>
                <w:color w:val="111827"/>
                <w:sz w:val="21"/>
              </w:rPr>
              <w:t>-10%</w:t>
            </w:r>
          </w:p>
        </w:tc>
        <w:tc>
          <w:tcPr>
            <w:tcW w:type="dxa" w:w="1465"/>
          </w:tcPr>
          <w:p>
            <w:pPr>
              <w:jc w:val="center"/>
            </w:pPr>
            <w:r/>
            <w:r>
              <w:rPr>
                <w:rFonts w:eastAsia="FangSong" w:ascii="Times New Roman" w:hAnsi="Times New Roman"/>
                <w:b/>
                <w:color w:val="111827"/>
                <w:sz w:val="21"/>
              </w:rPr>
              <w:t>-5%</w:t>
            </w:r>
          </w:p>
        </w:tc>
        <w:tc>
          <w:tcPr>
            <w:tcW w:type="dxa" w:w="1465"/>
          </w:tcPr>
          <w:p>
            <w:pPr>
              <w:jc w:val="center"/>
            </w:pPr>
            <w:r/>
            <w:r>
              <w:rPr>
                <w:rFonts w:eastAsia="FangSong" w:ascii="Times New Roman" w:hAnsi="Times New Roman"/>
                <w:b/>
                <w:color w:val="111827"/>
                <w:sz w:val="21"/>
              </w:rPr>
              <w:t>基准</w:t>
            </w:r>
          </w:p>
        </w:tc>
        <w:tc>
          <w:tcPr>
            <w:tcW w:type="dxa" w:w="1465"/>
          </w:tcPr>
          <w:p>
            <w:pPr>
              <w:jc w:val="center"/>
            </w:pPr>
            <w:r/>
            <w:r>
              <w:rPr>
                <w:rFonts w:eastAsia="FangSong" w:ascii="Times New Roman" w:hAnsi="Times New Roman"/>
                <w:b/>
                <w:color w:val="111827"/>
                <w:sz w:val="21"/>
              </w:rPr>
              <w:t>+5%</w:t>
            </w:r>
          </w:p>
        </w:tc>
        <w:tc>
          <w:tcPr>
            <w:tcW w:type="dxa" w:w="1465"/>
          </w:tcPr>
          <w:p>
            <w:pPr>
              <w:jc w:val="center"/>
            </w:pPr>
            <w:r/>
            <w:r>
              <w:rPr>
                <w:rFonts w:eastAsia="FangSong" w:ascii="Times New Roman" w:hAnsi="Times New Roman"/>
                <w:b/>
                <w:color w:val="111827"/>
                <w:sz w:val="21"/>
              </w:rPr>
              <w:t>+10%</w:t>
            </w:r>
          </w:p>
        </w:tc>
      </w:tr>
      <w:tr>
        <w:tc>
          <w:tcPr>
            <w:tcW w:type="dxa" w:w="1465"/>
          </w:tcPr>
          <w:p>
            <w:pPr>
              <w:jc w:val="left"/>
            </w:pPr>
            <w:r/>
            <w:r>
              <w:rPr>
                <w:rFonts w:eastAsia="FangSong" w:ascii="Times New Roman" w:hAnsi="Times New Roman"/>
                <w:color w:val="4B5563"/>
                <w:sz w:val="18"/>
              </w:rPr>
              <w:t>营业收入</w:t>
            </w:r>
          </w:p>
        </w:tc>
        <w:tc>
          <w:tcPr>
            <w:tcW w:type="dxa" w:w="1465"/>
          </w:tcPr>
          <w:p>
            <w:pPr>
              <w:jc w:val="right"/>
            </w:pPr>
            <w:r/>
            <w:r>
              <w:rPr>
                <w:rFonts w:eastAsia="FangSong" w:ascii="Times New Roman" w:hAnsi="Times New Roman"/>
                <w:color w:val="4B5563"/>
                <w:sz w:val="18"/>
              </w:rPr>
              <w:t>16.91%</w:t>
            </w:r>
          </w:p>
        </w:tc>
        <w:tc>
          <w:tcPr>
            <w:tcW w:type="dxa" w:w="1465"/>
          </w:tcPr>
          <w:p>
            <w:pPr>
              <w:jc w:val="right"/>
            </w:pPr>
            <w:r/>
            <w:r>
              <w:rPr>
                <w:rFonts w:eastAsia="FangSong" w:ascii="Times New Roman" w:hAnsi="Times New Roman"/>
                <w:color w:val="4B5563"/>
                <w:sz w:val="18"/>
              </w:rPr>
              <w:t>18.84%</w:t>
            </w:r>
          </w:p>
        </w:tc>
        <w:tc>
          <w:tcPr>
            <w:tcW w:type="dxa" w:w="1465"/>
          </w:tcPr>
          <w:p>
            <w:pPr>
              <w:jc w:val="right"/>
            </w:pPr>
            <w:r/>
            <w:r>
              <w:rPr>
                <w:rFonts w:eastAsia="FangSong" w:ascii="Times New Roman" w:hAnsi="Times New Roman"/>
                <w:color w:val="4B5563"/>
                <w:sz w:val="18"/>
              </w:rPr>
              <w:t>20.61%</w:t>
            </w:r>
          </w:p>
        </w:tc>
        <w:tc>
          <w:tcPr>
            <w:tcW w:type="dxa" w:w="1465"/>
          </w:tcPr>
          <w:p>
            <w:pPr>
              <w:jc w:val="right"/>
            </w:pPr>
            <w:r/>
            <w:r>
              <w:rPr>
                <w:rFonts w:eastAsia="FangSong" w:ascii="Times New Roman" w:hAnsi="Times New Roman"/>
                <w:color w:val="4B5563"/>
                <w:sz w:val="18"/>
              </w:rPr>
              <w:t>22.23%</w:t>
            </w:r>
          </w:p>
        </w:tc>
        <w:tc>
          <w:tcPr>
            <w:tcW w:type="dxa" w:w="1465"/>
          </w:tcPr>
          <w:p>
            <w:pPr>
              <w:jc w:val="right"/>
            </w:pPr>
            <w:r/>
            <w:r>
              <w:rPr>
                <w:rFonts w:eastAsia="FangSong" w:ascii="Times New Roman" w:hAnsi="Times New Roman"/>
                <w:color w:val="4B5563"/>
                <w:sz w:val="18"/>
              </w:rPr>
              <w:t>23.74%</w:t>
            </w:r>
          </w:p>
        </w:tc>
      </w:tr>
      <w:tr>
        <w:tc>
          <w:tcPr>
            <w:tcW w:type="dxa" w:w="1465"/>
          </w:tcPr>
          <w:p>
            <w:pPr>
              <w:jc w:val="left"/>
            </w:pPr>
            <w:r/>
            <w:r>
              <w:rPr>
                <w:rFonts w:eastAsia="FangSong" w:ascii="Times New Roman" w:hAnsi="Times New Roman"/>
                <w:color w:val="4B5563"/>
                <w:sz w:val="18"/>
              </w:rPr>
              <w:t>经营成本</w:t>
            </w:r>
          </w:p>
        </w:tc>
        <w:tc>
          <w:tcPr>
            <w:tcW w:type="dxa" w:w="1465"/>
          </w:tcPr>
          <w:p>
            <w:pPr>
              <w:jc w:val="right"/>
            </w:pPr>
            <w:r/>
            <w:r>
              <w:rPr>
                <w:rFonts w:eastAsia="FangSong" w:ascii="Times New Roman" w:hAnsi="Times New Roman"/>
                <w:color w:val="4B5563"/>
                <w:sz w:val="18"/>
              </w:rPr>
              <w:t>22.17%</w:t>
            </w:r>
          </w:p>
        </w:tc>
        <w:tc>
          <w:tcPr>
            <w:tcW w:type="dxa" w:w="1465"/>
          </w:tcPr>
          <w:p>
            <w:pPr>
              <w:jc w:val="right"/>
            </w:pPr>
            <w:r/>
            <w:r>
              <w:rPr>
                <w:rFonts w:eastAsia="FangSong" w:ascii="Times New Roman" w:hAnsi="Times New Roman"/>
                <w:color w:val="4B5563"/>
                <w:sz w:val="18"/>
              </w:rPr>
              <w:t>21.40%</w:t>
            </w:r>
          </w:p>
        </w:tc>
        <w:tc>
          <w:tcPr>
            <w:tcW w:type="dxa" w:w="1465"/>
          </w:tcPr>
          <w:p>
            <w:pPr>
              <w:jc w:val="right"/>
            </w:pPr>
            <w:r/>
            <w:r>
              <w:rPr>
                <w:rFonts w:eastAsia="FangSong" w:ascii="Times New Roman" w:hAnsi="Times New Roman"/>
                <w:color w:val="4B5563"/>
                <w:sz w:val="18"/>
              </w:rPr>
              <w:t>20.61%</w:t>
            </w:r>
          </w:p>
        </w:tc>
        <w:tc>
          <w:tcPr>
            <w:tcW w:type="dxa" w:w="1465"/>
          </w:tcPr>
          <w:p>
            <w:pPr>
              <w:jc w:val="right"/>
            </w:pPr>
            <w:r/>
            <w:r>
              <w:rPr>
                <w:rFonts w:eastAsia="FangSong" w:ascii="Times New Roman" w:hAnsi="Times New Roman"/>
                <w:color w:val="4B5563"/>
                <w:sz w:val="18"/>
              </w:rPr>
              <w:t>19.78%</w:t>
            </w:r>
          </w:p>
        </w:tc>
        <w:tc>
          <w:tcPr>
            <w:tcW w:type="dxa" w:w="1465"/>
          </w:tcPr>
          <w:p>
            <w:pPr>
              <w:jc w:val="right"/>
            </w:pPr>
            <w:r/>
            <w:r>
              <w:rPr>
                <w:rFonts w:eastAsia="FangSong" w:ascii="Times New Roman" w:hAnsi="Times New Roman"/>
                <w:color w:val="4B5563"/>
                <w:sz w:val="18"/>
              </w:rPr>
              <w:t>18.92%</w:t>
            </w:r>
          </w:p>
        </w:tc>
      </w:tr>
      <w:tr>
        <w:tc>
          <w:tcPr>
            <w:tcW w:type="dxa" w:w="1465"/>
          </w:tcPr>
          <w:p>
            <w:pPr>
              <w:jc w:val="left"/>
            </w:pPr>
            <w:r/>
            <w:r>
              <w:rPr>
                <w:rFonts w:eastAsia="FangSong" w:ascii="Times New Roman" w:hAnsi="Times New Roman"/>
                <w:color w:val="4B5563"/>
                <w:sz w:val="18"/>
              </w:rPr>
              <w:t>建设投资</w:t>
            </w:r>
          </w:p>
        </w:tc>
        <w:tc>
          <w:tcPr>
            <w:tcW w:type="dxa" w:w="1465"/>
          </w:tcPr>
          <w:p>
            <w:pPr>
              <w:jc w:val="right"/>
            </w:pPr>
            <w:r/>
            <w:r>
              <w:rPr>
                <w:rFonts w:eastAsia="FangSong" w:ascii="Times New Roman" w:hAnsi="Times New Roman"/>
                <w:color w:val="4B5563"/>
                <w:sz w:val="18"/>
              </w:rPr>
              <w:t>22.48%</w:t>
            </w:r>
          </w:p>
        </w:tc>
        <w:tc>
          <w:tcPr>
            <w:tcW w:type="dxa" w:w="1465"/>
          </w:tcPr>
          <w:p>
            <w:pPr>
              <w:jc w:val="right"/>
            </w:pPr>
            <w:r/>
            <w:r>
              <w:rPr>
                <w:rFonts w:eastAsia="FangSong" w:ascii="Times New Roman" w:hAnsi="Times New Roman"/>
                <w:color w:val="4B5563"/>
                <w:sz w:val="18"/>
              </w:rPr>
              <w:t>21.51%</w:t>
            </w:r>
          </w:p>
        </w:tc>
        <w:tc>
          <w:tcPr>
            <w:tcW w:type="dxa" w:w="1465"/>
          </w:tcPr>
          <w:p>
            <w:pPr>
              <w:jc w:val="right"/>
            </w:pPr>
            <w:r/>
            <w:r>
              <w:rPr>
                <w:rFonts w:eastAsia="FangSong" w:ascii="Times New Roman" w:hAnsi="Times New Roman"/>
                <w:color w:val="4B5563"/>
                <w:sz w:val="18"/>
              </w:rPr>
              <w:t>20.61%</w:t>
            </w:r>
          </w:p>
        </w:tc>
        <w:tc>
          <w:tcPr>
            <w:tcW w:type="dxa" w:w="1465"/>
          </w:tcPr>
          <w:p>
            <w:pPr>
              <w:jc w:val="right"/>
            </w:pPr>
            <w:r/>
            <w:r>
              <w:rPr>
                <w:rFonts w:eastAsia="FangSong" w:ascii="Times New Roman" w:hAnsi="Times New Roman"/>
                <w:color w:val="4B5563"/>
                <w:sz w:val="18"/>
              </w:rPr>
              <w:t>19.75%</w:t>
            </w:r>
          </w:p>
        </w:tc>
        <w:tc>
          <w:tcPr>
            <w:tcW w:type="dxa" w:w="1465"/>
          </w:tcPr>
          <w:p>
            <w:pPr>
              <w:jc w:val="right"/>
            </w:pPr>
            <w:r/>
            <w:r>
              <w:rPr>
                <w:rFonts w:eastAsia="FangSong" w:ascii="Times New Roman" w:hAnsi="Times New Roman"/>
                <w:color w:val="4B5563"/>
                <w:sz w:val="18"/>
              </w:rPr>
              <w:t>18.94%</w:t>
            </w:r>
          </w:p>
        </w:tc>
      </w:tr>
    </w:tbl>
    <w:p>
      <w:r>
        <w:rPr>
          <w:rFonts w:eastAsia="FangSong" w:ascii="Times New Roman" w:hAnsi="Times New Roman"/>
          <w:color w:val="9CA3AF"/>
          <w:sz w:val="16"/>
        </w:rPr>
        <w:t>表中数值为对应因素单独变动时的项目财务内部收益率（税前）测算值。</w:t>
      </w:r>
    </w:p>
    <w:p>
      <w:pPr>
        <w:spacing w:line="560" w:lineRule="exact" w:before="160" w:after="0"/>
      </w:pPr>
      <w:r>
        <w:rPr>
          <w:rFonts w:ascii="Times New Roman" w:hAnsi="Times New Roman" w:eastAsia="FangSong"/>
          <w:b w:val="0"/>
          <w:color w:val="000000"/>
          <w:sz w:val="26"/>
        </w:rPr>
        <w:t>注：以上为测算值，采用全投资现金流模型（《建设项目经济评价方法与参数》第三版）。测算假设：项目总投资 100,000.00 万元；建设期 3 年；运营期 7 年；达产年营业收入 250,000.00 万元；达产年总成本 120,000.00 万元；所得税率 25%；基准折现率 10.0%。</w:t>
      </w:r>
    </w:p>
    <w:p>
      <w:pPr>
        <w:spacing w:line="560" w:lineRule="exact" w:before="520" w:after="200"/>
      </w:pPr>
      <w:r>
        <w:rPr>
          <w:rFonts w:ascii="Times New Roman" w:hAnsi="Times New Roman" w:eastAsia="SimHei"/>
          <w:b/>
          <w:color w:val="000000"/>
          <w:sz w:val="32"/>
        </w:rPr>
        <w:t>结论意见</w:t>
      </w:r>
    </w:p>
    <w:p>
      <w:pPr>
        <w:spacing w:line="560" w:lineRule="exact" w:before="0" w:after="0"/>
        <w:ind w:firstLine="480"/>
      </w:pPr>
      <w:r>
        <w:rPr>
          <w:rFonts w:ascii="Times New Roman" w:hAnsi="Times New Roman" w:eastAsia="FangSong"/>
          <w:b w:val="0"/>
          <w:color w:val="000000"/>
          <w:sz w:val="32"/>
        </w:rPr>
        <w:t>综上所述，本项目符合国家产业政策导向，市场空间广阔，投资策略清晰，管理团队专业，财务预期收益可观。基金设立方案规范，风险控制措施得力，具备较高的可行性和投资价值，建议尽快推进实施。</w:t>
      </w:r>
    </w:p>
    <w:p>
      <w:pPr>
        <w:spacing w:line="560" w:lineRule="exact" w:before="280" w:after="120"/>
      </w:pPr>
      <w:r>
        <w:rPr>
          <w:rFonts w:ascii="Times New Roman" w:hAnsi="Times New Roman" w:eastAsia="KaiTi"/>
          <w:b w:val="0"/>
          <w:color w:val="000000"/>
          <w:sz w:val="32"/>
        </w:rPr>
        <w:t>前提条件</w:t>
      </w:r>
    </w:p>
    <w:p>
      <w:pPr>
        <w:spacing w:line="560" w:lineRule="exact" w:before="0" w:after="0"/>
        <w:ind w:firstLine="480"/>
      </w:pPr>
      <w:r>
        <w:rPr>
          <w:rFonts w:ascii="Times New Roman" w:hAnsi="Times New Roman" w:eastAsia="FangSong"/>
          <w:b w:val="0"/>
          <w:color w:val="000000"/>
          <w:sz w:val="32"/>
        </w:rPr>
        <w:t>1. 须完成在中国证券投资基金业协会的私募基金管理人登记及基金备案</w:t>
      </w:r>
    </w:p>
    <w:p>
      <w:pPr>
        <w:spacing w:line="560" w:lineRule="exact" w:before="0" w:after="0"/>
        <w:ind w:firstLine="480"/>
      </w:pPr>
      <w:r>
        <w:rPr>
          <w:rFonts w:ascii="Times New Roman" w:hAnsi="Times New Roman" w:eastAsia="FangSong"/>
          <w:b w:val="0"/>
          <w:color w:val="000000"/>
          <w:sz w:val="32"/>
        </w:rPr>
        <w:t>2. 须确保各有限合伙人在约定时间内足额缴纳认缴出资</w:t>
      </w:r>
    </w:p>
    <w:p>
      <w:pPr>
        <w:spacing w:line="560" w:lineRule="exact" w:before="0" w:after="0"/>
        <w:ind w:firstLine="480"/>
      </w:pPr>
      <w:r>
        <w:rPr>
          <w:rFonts w:ascii="Times New Roman" w:hAnsi="Times New Roman" w:eastAsia="FangSong"/>
          <w:b w:val="0"/>
          <w:color w:val="000000"/>
          <w:sz w:val="32"/>
        </w:rPr>
        <w:t>3. 须建立严格的项目隔离机制，防止利益冲突</w:t>
      </w:r>
    </w:p>
    <w:p>
      <w:pPr>
        <w:spacing w:line="560" w:lineRule="exact" w:before="520" w:after="200"/>
      </w:pPr>
      <w:r>
        <w:rPr>
          <w:rFonts w:ascii="Times New Roman" w:hAnsi="Times New Roman" w:eastAsia="SimHei"/>
          <w:b/>
          <w:color w:val="000000"/>
          <w:sz w:val="32"/>
        </w:rPr>
        <w:t>建议</w:t>
      </w:r>
    </w:p>
    <w:p>
      <w:pPr>
        <w:spacing w:line="560" w:lineRule="exact" w:before="0" w:after="0"/>
        <w:ind w:firstLine="480"/>
      </w:pPr>
      <w:r>
        <w:rPr>
          <w:rFonts w:ascii="Times New Roman" w:hAnsi="Times New Roman" w:eastAsia="FangSong"/>
          <w:b w:val="0"/>
          <w:color w:val="000000"/>
          <w:sz w:val="32"/>
        </w:rPr>
        <w:t>1. 建议1：加快基金备案进程。责任主体：合规部；时间节点：注册后3个月内完成中基协备案。</w:t>
      </w:r>
    </w:p>
    <w:p>
      <w:pPr>
        <w:spacing w:line="560" w:lineRule="exact" w:before="0" w:after="0"/>
        <w:ind w:firstLine="480"/>
      </w:pPr>
      <w:r>
        <w:rPr>
          <w:rFonts w:ascii="Times New Roman" w:hAnsi="Times New Roman" w:eastAsia="FangSong"/>
          <w:b w:val="0"/>
          <w:color w:val="000000"/>
          <w:sz w:val="32"/>
        </w:rPr>
        <w:t>2. 建议2：强化投后赋能体系。责任主体：投后管理部；时间节点：投资期内每季度对被投企业进行至少一次深度走访。</w:t>
      </w:r>
    </w:p>
    <w:p>
      <w:pPr>
        <w:spacing w:line="560" w:lineRule="exact" w:before="0" w:after="0"/>
        <w:ind w:firstLine="480"/>
      </w:pPr>
      <w:r>
        <w:rPr>
          <w:rFonts w:ascii="Times New Roman" w:hAnsi="Times New Roman" w:eastAsia="FangSong"/>
          <w:b w:val="0"/>
          <w:color w:val="000000"/>
          <w:sz w:val="32"/>
        </w:rPr>
        <w:t>3. 建议3：多元化退出渠道布局。责任主体：投资部；时间节点：在第3年启动S基金对接及并购退出预案研究。</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pPr>
    <w:rPr>
      <w:rFonts w:ascii="Times New Roman" w:hAnsi="Times New Roman"/>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