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1600" w:after="0"/>
      </w:pPr>
    </w:p>
    <w:p>
      <w:pPr>
        <w:spacing w:line="560" w:lineRule="exact" w:before="0" w:after="800"/>
        <w:jc w:val="center"/>
      </w:pPr>
      <w:r>
        <w:rPr>
          <w:rFonts w:ascii="Times New Roman" w:hAnsi="Times New Roman" w:eastAsia="SimHei"/>
          <w:b/>
          <w:color w:val="000000"/>
          <w:sz w:val="44"/>
        </w:rPr>
        <w:t>年产5万吨新能源电池材料产线智能化与低碳化技术改造项目可行性研究报告</w:t>
      </w:r>
    </w:p>
    <w:p>
      <w:pPr>
        <w:spacing w:line="560" w:lineRule="exact" w:before="0" w:after="80"/>
      </w:pPr>
      <w:r>
        <w:rPr>
          <w:rFonts w:ascii="Times New Roman" w:hAnsi="Times New Roman" w:eastAsia="FangSong"/>
          <w:b w:val="0"/>
          <w:color w:val="000000"/>
          <w:sz w:val="32"/>
        </w:rPr>
        <w:t>项目名称：年产5万吨新能源电池材料产线智能化与低碳化技术改造项目</w:t>
      </w:r>
    </w:p>
    <w:p>
      <w:pPr>
        <w:spacing w:line="560" w:lineRule="exact" w:before="0" w:after="80"/>
      </w:pPr>
      <w:r>
        <w:rPr>
          <w:rFonts w:ascii="Times New Roman" w:hAnsi="Times New Roman" w:eastAsia="FangSong"/>
          <w:b w:val="0"/>
          <w:color w:val="000000"/>
          <w:sz w:val="32"/>
        </w:rPr>
        <w:t>项目选址：{{省名}}省{{市名}}市{{区/县名}}工业园区{{路名}}号</w:t>
      </w:r>
    </w:p>
    <w:p>
      <w:pPr>
        <w:spacing w:line="560" w:lineRule="exact" w:before="0" w:after="80"/>
      </w:pPr>
      <w:r>
        <w:rPr>
          <w:rFonts w:ascii="Times New Roman" w:hAnsi="Times New Roman" w:eastAsia="FangSong"/>
          <w:b w:val="0"/>
          <w:color w:val="000000"/>
          <w:sz w:val="32"/>
        </w:rPr>
        <w:t>投资主体：{{投资主体全称}}</w:t>
      </w:r>
    </w:p>
    <w:p>
      <w:pPr>
        <w:spacing w:line="560" w:lineRule="exact" w:before="0" w:after="80"/>
      </w:pPr>
      <w:r>
        <w:rPr>
          <w:rFonts w:ascii="Times New Roman" w:hAnsi="Times New Roman" w:eastAsia="FangSong"/>
          <w:b w:val="0"/>
          <w:color w:val="000000"/>
          <w:sz w:val="32"/>
        </w:rPr>
        <w:t>所属行业：C3985 电子专用材料制造</w:t>
      </w:r>
    </w:p>
    <w:p>
      <w:pPr>
        <w:spacing w:line="560" w:lineRule="exact" w:before="0" w:after="80"/>
      </w:pPr>
      <w:r>
        <w:rPr>
          <w:rFonts w:ascii="Times New Roman" w:hAnsi="Times New Roman" w:eastAsia="FangSong"/>
          <w:b w:val="0"/>
          <w:color w:val="000000"/>
          <w:sz w:val="32"/>
        </w:rPr>
        <w:t>项目总投资（万元）：12000.00</w:t>
      </w:r>
    </w:p>
    <w:p>
      <w:pPr>
        <w:spacing w:line="560" w:lineRule="exact" w:before="0" w:after="80"/>
      </w:pPr>
      <w:r>
        <w:rPr>
          <w:rFonts w:ascii="Times New Roman" w:hAnsi="Times New Roman" w:eastAsia="FangSong"/>
          <w:b w:val="0"/>
          <w:color w:val="000000"/>
          <w:sz w:val="32"/>
        </w:rPr>
        <w:t>建设工期：18个月</w:t>
      </w:r>
    </w:p>
    <w:p>
      <w:pPr>
        <w:spacing w:line="560" w:lineRule="exact" w:before="0" w:after="80"/>
      </w:pPr>
      <w:r>
        <w:rPr>
          <w:rFonts w:ascii="Times New Roman" w:hAnsi="Times New Roman" w:eastAsia="FangSong"/>
          <w:b w:val="0"/>
          <w:color w:val="000000"/>
          <w:sz w:val="32"/>
        </w:rPr>
        <w:t>项目类型：技术改造</w:t>
      </w:r>
    </w:p>
    <w:p>
      <w:r>
        <w:br w:type="page"/>
      </w:r>
    </w:p>
    <w:p>
      <w:pPr>
        <w:spacing w:line="560" w:lineRule="exact" w:before="520" w:after="200"/>
      </w:pPr>
      <w:r>
        <w:rPr>
          <w:rFonts w:ascii="Times New Roman" w:hAnsi="Times New Roman" w:eastAsia="SimHei"/>
          <w:b/>
          <w:color w:val="000000"/>
          <w:sz w:val="32"/>
        </w:rPr>
        <w:t>第一章 项目概述</w:t>
      </w:r>
    </w:p>
    <w:p>
      <w:pPr>
        <w:spacing w:line="560" w:lineRule="exact" w:before="0" w:after="0"/>
        <w:ind w:firstLine="480"/>
      </w:pPr>
      <w:r>
        <w:rPr>
          <w:rFonts w:ascii="Times New Roman" w:hAnsi="Times New Roman" w:eastAsia="FangSong"/>
          <w:b w:val="0"/>
          <w:color w:val="000000"/>
          <w:sz w:val="32"/>
        </w:rPr>
        <w:t>第一节 项目背景</w:t>
      </w:r>
    </w:p>
    <w:p>
      <w:pPr>
        <w:spacing w:line="560" w:lineRule="exact" w:before="0" w:after="0"/>
        <w:ind w:firstLine="480"/>
      </w:pPr>
      <w:r>
        <w:rPr>
          <w:rFonts w:ascii="Times New Roman" w:hAnsi="Times New Roman" w:eastAsia="FangSong"/>
          <w:b w:val="0"/>
          <w:color w:val="000000"/>
          <w:sz w:val="32"/>
        </w:rPr>
        <w:t>随着全球能源转型加速，新能源汽车产业呈现爆发式增长，带动上游动力电池材料需求持续攀升。根据《“十四五”原材料工业发展规划》及《工业领域碳达峰实施方案》，推动制造业高端化、智能化、绿色化发展已成为国家战略重点。传统电池材料生产线存在能耗高、人工依赖度高、产品一致性波动大等痛点，亟需通过数字化与低碳化改造提升核心竞争力。</w:t>
      </w:r>
    </w:p>
    <w:p>
      <w:pPr>
        <w:spacing w:line="560" w:lineRule="exact" w:before="0" w:after="0"/>
        <w:ind w:firstLine="480"/>
      </w:pPr>
      <w:r>
        <w:rPr>
          <w:rFonts w:ascii="Times New Roman" w:hAnsi="Times New Roman" w:eastAsia="FangSong"/>
          <w:b w:val="0"/>
          <w:color w:val="000000"/>
          <w:sz w:val="32"/>
        </w:rPr>
        <w:t>第二节 项目概况</w:t>
      </w:r>
    </w:p>
    <w:p>
      <w:pPr>
        <w:spacing w:line="560" w:lineRule="exact" w:before="0" w:after="0"/>
        <w:ind w:firstLine="480"/>
      </w:pPr>
      <w:r>
        <w:rPr>
          <w:rFonts w:ascii="Times New Roman" w:hAnsi="Times New Roman" w:eastAsia="FangSong"/>
          <w:b w:val="0"/>
          <w:color w:val="000000"/>
          <w:sz w:val="32"/>
        </w:rPr>
        <w:t>本项目由{{投资主体全称}}投资建设，依托现有年产5万吨新能源电池材料（如磷酸铁锂/三元前驱体）生产线，实施智能化与低碳化技术改造。项目总投资12000.00万元，建设工期18个月。主要建设内容包括引入AI过程控制系统、建设余热回收节能系统、升级自动化包装物流线以及配套的基础设施改造。</w:t>
      </w:r>
    </w:p>
    <w:p>
      <w:pPr>
        <w:spacing w:line="560" w:lineRule="exact" w:before="0" w:after="0"/>
        <w:ind w:firstLine="480"/>
      </w:pPr>
      <w:r>
        <w:rPr>
          <w:rFonts w:ascii="Times New Roman" w:hAnsi="Times New Roman" w:eastAsia="FangSong"/>
          <w:b w:val="0"/>
          <w:color w:val="000000"/>
          <w:sz w:val="32"/>
        </w:rPr>
        <w:t>第三节 编制依据与范围</w:t>
      </w:r>
    </w:p>
    <w:p>
      <w:pPr>
        <w:spacing w:line="560" w:lineRule="exact" w:before="0" w:after="0"/>
        <w:ind w:firstLine="480"/>
      </w:pPr>
      <w:r>
        <w:rPr>
          <w:rFonts w:ascii="Times New Roman" w:hAnsi="Times New Roman" w:eastAsia="FangSong"/>
          <w:b w:val="0"/>
          <w:color w:val="000000"/>
          <w:sz w:val="32"/>
        </w:rPr>
        <w:t>本报告依据《政府投资项目可行性研究报告编写通用大纲》（发改投资规〔2023〕304号）、《建设项目经济评价方法与参数》（第四版）及国家现行有关标准规范编制。研究范围涵盖市场分析、技术方案、节能环保、投资估算、财务评价及风险分析，旨在论证项目的技术可行性与经济合理性。</w:t>
      </w:r>
    </w:p>
    <w:p>
      <w:pPr>
        <w:spacing w:line="560" w:lineRule="exact" w:before="520" w:after="200"/>
      </w:pPr>
      <w:r>
        <w:rPr>
          <w:rFonts w:ascii="Times New Roman" w:hAnsi="Times New Roman" w:eastAsia="SimHei"/>
          <w:b/>
          <w:color w:val="000000"/>
          <w:sz w:val="32"/>
        </w:rPr>
        <w:t>第二章 市场分析与需求预测</w:t>
      </w:r>
    </w:p>
    <w:p>
      <w:pPr>
        <w:spacing w:line="560" w:lineRule="exact" w:before="0" w:after="0"/>
        <w:ind w:firstLine="480"/>
      </w:pPr>
      <w:r>
        <w:rPr>
          <w:rFonts w:ascii="Times New Roman" w:hAnsi="Times New Roman" w:eastAsia="FangSong"/>
          <w:b w:val="0"/>
          <w:color w:val="000000"/>
          <w:sz w:val="32"/>
        </w:rPr>
        <w:t>第一节 市场现状分析</w:t>
      </w:r>
    </w:p>
    <w:p>
      <w:pPr>
        <w:spacing w:line="560" w:lineRule="exact" w:before="0" w:after="0"/>
        <w:ind w:firstLine="480"/>
      </w:pPr>
      <w:r>
        <w:rPr>
          <w:rFonts w:ascii="Times New Roman" w:hAnsi="Times New Roman" w:eastAsia="FangSong"/>
          <w:b w:val="0"/>
          <w:color w:val="000000"/>
          <w:sz w:val="32"/>
        </w:rPr>
        <w:t>近年来，中国新能源汽车渗透率快速提升，带动动力电池装机量年均增长率超过30%。据中国汽车工业协会数据，2023年我国新能源汽车产销分别完成958.7万辆和949.5万辆，同比分别增长35.8%和37.9%。作为核心原材料，正极材料市场需求旺盛，但行业竞争已从单纯的产能扩张转向品质、成本与交付能力的综合较量。</w:t>
      </w:r>
    </w:p>
    <w:p>
      <w:pPr>
        <w:spacing w:line="560" w:lineRule="exact" w:before="0" w:after="0"/>
        <w:ind w:firstLine="480"/>
      </w:pPr>
      <w:r>
        <w:rPr>
          <w:rFonts w:ascii="Times New Roman" w:hAnsi="Times New Roman" w:eastAsia="FangSong"/>
          <w:b w:val="0"/>
          <w:color w:val="000000"/>
          <w:sz w:val="32"/>
        </w:rPr>
        <w:t>第二节 市场需求预测</w:t>
      </w:r>
    </w:p>
    <w:p>
      <w:pPr>
        <w:spacing w:line="560" w:lineRule="exact" w:before="0" w:after="0"/>
        <w:ind w:firstLine="480"/>
      </w:pPr>
      <w:r>
        <w:rPr>
          <w:rFonts w:ascii="Times New Roman" w:hAnsi="Times New Roman" w:eastAsia="FangSong"/>
          <w:b w:val="0"/>
          <w:color w:val="000000"/>
          <w:sz w:val="32"/>
        </w:rPr>
        <w:t>预计未来五年，高性能、低成本的电池材料将保持供不应求态势。下游头部电池企业（如宁德时代、比亚迪）对供应商提出了更严格的碳足迹追溯要求和本征安全指标。通过本项目的智能化改造，可实现生产全过程数据可追溯，满足高端客户对“零缺陷”和“低碳排放”的采购标准，预计改造后产品市场占有率将提升3-5个百分点。</w:t>
      </w:r>
    </w:p>
    <w:p>
      <w:pPr>
        <w:spacing w:line="560" w:lineRule="exact" w:before="0" w:after="0"/>
        <w:ind w:firstLine="480"/>
      </w:pPr>
      <w:r>
        <w:rPr>
          <w:rFonts w:ascii="Times New Roman" w:hAnsi="Times New Roman" w:eastAsia="FangSong"/>
          <w:b w:val="0"/>
          <w:color w:val="000000"/>
          <w:sz w:val="32"/>
        </w:rPr>
        <w:t>第三节 竞争优势分析</w:t>
      </w:r>
    </w:p>
    <w:p>
      <w:pPr>
        <w:spacing w:line="560" w:lineRule="exact" w:before="0" w:after="0"/>
        <w:ind w:firstLine="480"/>
      </w:pPr>
      <w:r>
        <w:rPr>
          <w:rFonts w:ascii="Times New Roman" w:hAnsi="Times New Roman" w:eastAsia="FangSong"/>
          <w:b w:val="0"/>
          <w:color w:val="000000"/>
          <w:sz w:val="32"/>
        </w:rPr>
        <w:t>本项目通过引入AI控制系统，可将产品合格率从目前的98.5%提升至99.8%以上，显著降低废品损失；通过余热回收系统，单位产品能耗降低15%以上。在原材料价格波动剧烈的背景下，极致的成本控制能力和稳定的产品质量将成为本项目核心的市场竞争壁垒。</w:t>
      </w:r>
    </w:p>
    <w:p>
      <w:pPr>
        <w:spacing w:line="560" w:lineRule="exact" w:before="520" w:after="200"/>
      </w:pPr>
      <w:r>
        <w:rPr>
          <w:rFonts w:ascii="Times New Roman" w:hAnsi="Times New Roman" w:eastAsia="SimHei"/>
          <w:b/>
          <w:color w:val="000000"/>
          <w:sz w:val="32"/>
        </w:rPr>
        <w:t>第三章 建设规模与产品方案</w:t>
      </w:r>
    </w:p>
    <w:p>
      <w:pPr>
        <w:spacing w:line="560" w:lineRule="exact" w:before="0" w:after="0"/>
        <w:ind w:firstLine="480"/>
      </w:pPr>
      <w:r>
        <w:rPr>
          <w:rFonts w:ascii="Times New Roman" w:hAnsi="Times New Roman" w:eastAsia="FangSong"/>
          <w:b w:val="0"/>
          <w:color w:val="000000"/>
          <w:sz w:val="32"/>
        </w:rPr>
        <w:t>第一节 建设规模</w:t>
      </w:r>
    </w:p>
    <w:p>
      <w:pPr>
        <w:spacing w:line="560" w:lineRule="exact" w:before="0" w:after="0"/>
        <w:ind w:firstLine="480"/>
      </w:pPr>
      <w:r>
        <w:rPr>
          <w:rFonts w:ascii="Times New Roman" w:hAnsi="Times New Roman" w:eastAsia="FangSong"/>
          <w:b w:val="0"/>
          <w:color w:val="000000"/>
          <w:sz w:val="32"/>
        </w:rPr>
        <w:t>本项目不新增土地和主体厂房，在现有年产5万吨产能基础上进行技改。改造完成后，设计产能维持5万吨/年不变，但有效产出率提升，相当于隐性增加产能约2000吨/年。同时，通过优化工艺节拍，生产线运行效率提升10%，具备应对峰值订单的弹性生产能力。</w:t>
      </w:r>
    </w:p>
    <w:p>
      <w:pPr>
        <w:spacing w:line="560" w:lineRule="exact" w:before="0" w:after="0"/>
        <w:ind w:firstLine="480"/>
      </w:pPr>
      <w:r>
        <w:rPr>
          <w:rFonts w:ascii="Times New Roman" w:hAnsi="Times New Roman" w:eastAsia="FangSong"/>
          <w:b w:val="0"/>
          <w:color w:val="000000"/>
          <w:sz w:val="32"/>
        </w:rPr>
        <w:t>第二节 产品方案</w:t>
      </w:r>
    </w:p>
    <w:p>
      <w:pPr>
        <w:spacing w:line="560" w:lineRule="exact" w:before="0" w:after="0"/>
        <w:ind w:firstLine="480"/>
      </w:pPr>
      <w:r>
        <w:rPr>
          <w:rFonts w:ascii="Times New Roman" w:hAnsi="Times New Roman" w:eastAsia="FangSong"/>
          <w:b w:val="0"/>
          <w:color w:val="000000"/>
          <w:sz w:val="32"/>
        </w:rPr>
        <w:t>主要产品为{{具体产品名称，如：磷酸铁锂正极材料}}，规格包括标准型和高压实密度型两类。技改后，产品粒径分布D50控制在{{数值}}μm±0.5，比表面积控制在{{数值}}m²/g±0.2，磁性异物含量低于{{数值}}ppb，各项指标均优于国标GB/T {{标准号}}及头部客户企业标准。</w:t>
      </w:r>
    </w:p>
    <w:p>
      <w:pPr>
        <w:spacing w:line="560" w:lineRule="exact" w:before="0" w:after="0"/>
        <w:ind w:firstLine="480"/>
      </w:pPr>
      <w:r>
        <w:rPr>
          <w:rFonts w:ascii="Times New Roman" w:hAnsi="Times New Roman" w:eastAsia="FangSong"/>
          <w:b w:val="0"/>
          <w:color w:val="000000"/>
          <w:sz w:val="32"/>
        </w:rPr>
        <w:t>第三节 质量标准</w:t>
      </w:r>
    </w:p>
    <w:p>
      <w:pPr>
        <w:spacing w:line="560" w:lineRule="exact" w:before="0" w:after="0"/>
        <w:ind w:firstLine="480"/>
      </w:pPr>
      <w:r>
        <w:rPr>
          <w:rFonts w:ascii="Times New Roman" w:hAnsi="Times New Roman" w:eastAsia="FangSong"/>
          <w:b w:val="0"/>
          <w:color w:val="000000"/>
          <w:sz w:val="32"/>
        </w:rPr>
        <w:t>项目严格执行ISO9001质量管理体系及IATF16949汽车行业质量管理体系标准。建立全流程质量追溯系统，实现从原材料入库到成品出库的“一物一码”全生命周期管理，确保产品质量的一致性与稳定性。</w:t>
      </w:r>
    </w:p>
    <w:p>
      <w:pPr>
        <w:spacing w:line="560" w:lineRule="exact" w:before="520" w:after="200"/>
      </w:pPr>
      <w:r>
        <w:rPr>
          <w:rFonts w:ascii="Times New Roman" w:hAnsi="Times New Roman" w:eastAsia="SimHei"/>
          <w:b/>
          <w:color w:val="000000"/>
          <w:sz w:val="32"/>
        </w:rPr>
        <w:t>第四章 场（厂）址选择</w:t>
      </w:r>
    </w:p>
    <w:p>
      <w:pPr>
        <w:spacing w:line="560" w:lineRule="exact" w:before="0" w:after="0"/>
        <w:ind w:firstLine="480"/>
      </w:pPr>
      <w:r>
        <w:rPr>
          <w:rFonts w:ascii="Times New Roman" w:hAnsi="Times New Roman" w:eastAsia="FangSong"/>
          <w:b w:val="0"/>
          <w:color w:val="000000"/>
          <w:sz w:val="32"/>
        </w:rPr>
        <w:t>第一节 场址现状</w:t>
      </w:r>
    </w:p>
    <w:p>
      <w:pPr>
        <w:spacing w:line="560" w:lineRule="exact" w:before="0" w:after="0"/>
        <w:ind w:firstLine="480"/>
      </w:pPr>
      <w:r>
        <w:rPr>
          <w:rFonts w:ascii="Times New Roman" w:hAnsi="Times New Roman" w:eastAsia="FangSong"/>
          <w:b w:val="0"/>
          <w:color w:val="000000"/>
          <w:sz w:val="32"/>
        </w:rPr>
        <w:t>项目选址位于{{省名}}省{{市名}}市{{区/县名}}工业园区内，现有厂区占地面积{{数值}}亩，建筑面积{{数值}}平方米。厂区交通便利，距离最近的高速公路入口{{数值}}公里，距离铁路货运站{{数值}}公里，物流条件优越。</w:t>
      </w:r>
    </w:p>
    <w:p>
      <w:pPr>
        <w:spacing w:line="560" w:lineRule="exact" w:before="0" w:after="0"/>
        <w:ind w:firstLine="480"/>
      </w:pPr>
      <w:r>
        <w:rPr>
          <w:rFonts w:ascii="Times New Roman" w:hAnsi="Times New Roman" w:eastAsia="FangSong"/>
          <w:b w:val="0"/>
          <w:color w:val="000000"/>
          <w:sz w:val="32"/>
        </w:rPr>
        <w:t>第二节 建设条件分析</w:t>
      </w:r>
    </w:p>
    <w:p>
      <w:pPr>
        <w:spacing w:line="560" w:lineRule="exact" w:before="0" w:after="0"/>
        <w:ind w:firstLine="480"/>
      </w:pPr>
      <w:r>
        <w:rPr>
          <w:rFonts w:ascii="Times New Roman" w:hAnsi="Times New Roman" w:eastAsia="FangSong"/>
          <w:b w:val="0"/>
          <w:color w:val="000000"/>
          <w:sz w:val="32"/>
        </w:rPr>
        <w:t>1. 公用工程依托：厂区现有供水、供电、供气设施容量充足。本次技改需新增用电负荷{{数值}}kW，现有变电站余量可满足需求；生产用水依托厂区污水处理站中水回用系统，水源保障可靠。</w:t>
        <w:br/>
        <w:t>2. 地质条件：厂区地质结构稳定，地震烈度为{{数值}}度，无不良地质灾害记录，适合设备安装与运行。</w:t>
      </w:r>
    </w:p>
    <w:p>
      <w:pPr>
        <w:spacing w:line="560" w:lineRule="exact" w:before="0" w:after="0"/>
        <w:ind w:firstLine="480"/>
      </w:pPr>
      <w:r>
        <w:rPr>
          <w:rFonts w:ascii="Times New Roman" w:hAnsi="Times New Roman" w:eastAsia="FangSong"/>
          <w:b w:val="0"/>
          <w:color w:val="000000"/>
          <w:sz w:val="32"/>
        </w:rPr>
        <w:t>第三节 场址适宜性结论</w:t>
      </w:r>
    </w:p>
    <w:p>
      <w:pPr>
        <w:spacing w:line="560" w:lineRule="exact" w:before="0" w:after="0"/>
        <w:ind w:firstLine="480"/>
      </w:pPr>
      <w:r>
        <w:rPr>
          <w:rFonts w:ascii="Times New Roman" w:hAnsi="Times New Roman" w:eastAsia="FangSong"/>
          <w:b w:val="0"/>
          <w:color w:val="000000"/>
          <w:sz w:val="32"/>
        </w:rPr>
        <w:t>本项目利用现有厂房进行技术改造，不涉及新征用地，符合园区土地利用规划及产业定位。现有基础设施配套完善，无需大规模新建外部管网，有利于缩短建设周期，降低投资风险，场址选择合理可行。</w:t>
      </w:r>
    </w:p>
    <w:p>
      <w:pPr>
        <w:spacing w:line="560" w:lineRule="exact" w:before="520" w:after="200"/>
      </w:pPr>
      <w:r>
        <w:rPr>
          <w:rFonts w:ascii="Times New Roman" w:hAnsi="Times New Roman" w:eastAsia="SimHei"/>
          <w:b/>
          <w:color w:val="000000"/>
          <w:sz w:val="32"/>
        </w:rPr>
        <w:t>第五章 技术方案、设备方案和工程方案</w:t>
      </w:r>
    </w:p>
    <w:p>
      <w:pPr>
        <w:spacing w:line="560" w:lineRule="exact" w:before="0" w:after="0"/>
        <w:ind w:firstLine="480"/>
      </w:pPr>
      <w:r>
        <w:rPr>
          <w:rFonts w:ascii="Times New Roman" w:hAnsi="Times New Roman" w:eastAsia="FangSong"/>
          <w:b w:val="0"/>
          <w:color w:val="000000"/>
          <w:sz w:val="32"/>
        </w:rPr>
        <w:t>第一节 技术方案</w:t>
      </w:r>
    </w:p>
    <w:p>
      <w:pPr>
        <w:spacing w:line="560" w:lineRule="exact" w:before="0" w:after="0"/>
        <w:ind w:firstLine="480"/>
      </w:pPr>
      <w:r>
        <w:rPr>
          <w:rFonts w:ascii="Times New Roman" w:hAnsi="Times New Roman" w:eastAsia="FangSong"/>
          <w:b w:val="0"/>
          <w:color w:val="000000"/>
          <w:sz w:val="32"/>
        </w:rPr>
        <w:t>1. AI智能控制系统：部署基于机器视觉和深度学习的DCS/APC联合控制平台。通过采集窑炉温度、气氛、进料速度等500+个实时数据点，利用AI算法动态调整工艺参数，解决传统PID控制滞后问题，实现烧结过程的精准温控（精度±1℃）。</w:t>
        <w:br/>
        <w:t>2. 余热回收系统：在回转窑尾气排放端安装高效板式换热器及热泵机组，回收高温废气余热用于预热助燃空气及生活热水，构建热能梯级利用网络。</w:t>
        <w:br/>
        <w:t>3. 自动化包装线：引入全自动称重、装袋、码垛机器人及AGV物流小车，实现从成品仓到发货区的无人化作业，减少人工接触污染风险。</w:t>
      </w:r>
    </w:p>
    <w:p>
      <w:pPr>
        <w:spacing w:line="560" w:lineRule="exact" w:before="0" w:after="0"/>
        <w:ind w:firstLine="480"/>
      </w:pPr>
      <w:r>
        <w:rPr>
          <w:rFonts w:ascii="Times New Roman" w:hAnsi="Times New Roman" w:eastAsia="FangSong"/>
          <w:b w:val="0"/>
          <w:color w:val="000000"/>
          <w:sz w:val="32"/>
        </w:rPr>
        <w:t>第二节 关键设备方案</w:t>
      </w:r>
    </w:p>
    <w:p>
      <w:pPr>
        <w:spacing w:line="560" w:lineRule="exact" w:before="0" w:after="0"/>
        <w:ind w:firstLine="480"/>
      </w:pPr>
      <w:r>
        <w:rPr>
          <w:rFonts w:ascii="Times New Roman" w:hAnsi="Times New Roman" w:eastAsia="FangSong"/>
          <w:b w:val="0"/>
          <w:color w:val="000000"/>
          <w:sz w:val="32"/>
        </w:rPr>
        <w:t>主要新增设备包括：AI边缘计算服务器{{数值}}台、高精度在线监测传感器{{数值}}套、余热回收换热机组{{数值}}套、全自动包装码垛线{{数值}}条、AGV小车{{数值}}辆。设备选型优先采用国内领先、国际先进水平产品，关键传感器进口品牌以确保数据采集精度。</w:t>
      </w:r>
    </w:p>
    <w:p>
      <w:pPr>
        <w:spacing w:line="560" w:lineRule="exact" w:before="0" w:after="0"/>
        <w:ind w:firstLine="480"/>
      </w:pPr>
      <w:r>
        <w:rPr>
          <w:rFonts w:ascii="Times New Roman" w:hAnsi="Times New Roman" w:eastAsia="FangSong"/>
          <w:b w:val="0"/>
          <w:color w:val="000000"/>
          <w:sz w:val="32"/>
        </w:rPr>
        <w:t>第三节 工程方案</w:t>
      </w:r>
    </w:p>
    <w:p>
      <w:pPr>
        <w:spacing w:line="560" w:lineRule="exact" w:before="0" w:after="0"/>
        <w:ind w:firstLine="480"/>
      </w:pPr>
      <w:r>
        <w:rPr>
          <w:rFonts w:ascii="Times New Roman" w:hAnsi="Times New Roman" w:eastAsia="FangSong"/>
          <w:b w:val="0"/>
          <w:color w:val="000000"/>
          <w:sz w:val="32"/>
        </w:rPr>
        <w:t>对现有中控室进行升级改造，搭建私有云数据中心；铺设工业光纤环网，实现车间5G全覆盖；对窑炉烟道进行局部改造以适配余热回收装置。所有改造工程严格遵守不停产或少停产施工原则，制定详细的分段施工计划。</w:t>
      </w:r>
    </w:p>
    <w:p>
      <w:pPr>
        <w:spacing w:line="560" w:lineRule="exact" w:before="520" w:after="200"/>
      </w:pPr>
      <w:r>
        <w:rPr>
          <w:rFonts w:ascii="Times New Roman" w:hAnsi="Times New Roman" w:eastAsia="SimHei"/>
          <w:b/>
          <w:color w:val="000000"/>
          <w:sz w:val="32"/>
        </w:rPr>
        <w:t>第六章 原材料及燃料动力供应</w:t>
      </w:r>
    </w:p>
    <w:p>
      <w:pPr>
        <w:spacing w:line="560" w:lineRule="exact" w:before="0" w:after="0"/>
        <w:ind w:firstLine="480"/>
      </w:pPr>
      <w:r>
        <w:rPr>
          <w:rFonts w:ascii="Times New Roman" w:hAnsi="Times New Roman" w:eastAsia="FangSong"/>
          <w:b w:val="0"/>
          <w:color w:val="000000"/>
          <w:sz w:val="32"/>
        </w:rPr>
        <w:t>第一节 主要原材料供应</w:t>
      </w:r>
    </w:p>
    <w:p>
      <w:pPr>
        <w:spacing w:line="560" w:lineRule="exact" w:before="0" w:after="0"/>
        <w:ind w:firstLine="480"/>
      </w:pPr>
      <w:r>
        <w:rPr>
          <w:rFonts w:ascii="Times New Roman" w:hAnsi="Times New Roman" w:eastAsia="FangSong"/>
          <w:b w:val="0"/>
          <w:color w:val="000000"/>
          <w:sz w:val="32"/>
        </w:rPr>
        <w:t>项目主要原材料为{{原料A}}、{{原料B}}等，年需求量约{{数值}}万吨。公司已与{{供应商名称}}等上游龙头企业建立长期战略合作伙伴关系，签订长期保供协议，原材料来源稳定，质量可靠。技改后，由于良品率提升，单位产品原材料单耗预计降低0.5%。</w:t>
      </w:r>
    </w:p>
    <w:p>
      <w:pPr>
        <w:spacing w:line="560" w:lineRule="exact" w:before="0" w:after="0"/>
        <w:ind w:firstLine="480"/>
      </w:pPr>
      <w:r>
        <w:rPr>
          <w:rFonts w:ascii="Times New Roman" w:hAnsi="Times New Roman" w:eastAsia="FangSong"/>
          <w:b w:val="0"/>
          <w:color w:val="000000"/>
          <w:sz w:val="32"/>
        </w:rPr>
        <w:t>第二节 燃料动力供应</w:t>
      </w:r>
    </w:p>
    <w:p>
      <w:pPr>
        <w:spacing w:line="560" w:lineRule="exact" w:before="0" w:after="0"/>
        <w:ind w:firstLine="480"/>
      </w:pPr>
      <w:r>
        <w:rPr>
          <w:rFonts w:ascii="Times New Roman" w:hAnsi="Times New Roman" w:eastAsia="FangSong"/>
          <w:b w:val="0"/>
          <w:color w:val="000000"/>
          <w:sz w:val="32"/>
        </w:rPr>
        <w:t>1. 电力：年新增用电量约{{数值}}万kWh，由当地供电公司直供，供电可靠性高。</w:t>
        <w:br/>
        <w:t>2. 天然气：年新增用气量约{{数值}}万立方米，主要用于余热系统补充加热，由{{燃气公司名称}}管道输送供应。</w:t>
        <w:br/>
        <w:t>3. 水：年新增用水量{{数值}}吨，主要为冷却循环补水，依托厂区现有供水管网。</w:t>
      </w:r>
    </w:p>
    <w:p>
      <w:pPr>
        <w:spacing w:line="560" w:lineRule="exact" w:before="0" w:after="0"/>
        <w:ind w:firstLine="480"/>
      </w:pPr>
      <w:r>
        <w:rPr>
          <w:rFonts w:ascii="Times New Roman" w:hAnsi="Times New Roman" w:eastAsia="FangSong"/>
          <w:b w:val="0"/>
          <w:color w:val="000000"/>
          <w:sz w:val="32"/>
        </w:rPr>
        <w:t>第三节 供应保障分析</w:t>
      </w:r>
    </w:p>
    <w:p>
      <w:pPr>
        <w:spacing w:line="560" w:lineRule="exact" w:before="0" w:after="0"/>
        <w:ind w:firstLine="480"/>
      </w:pPr>
      <w:r>
        <w:rPr>
          <w:rFonts w:ascii="Times New Roman" w:hAnsi="Times New Roman" w:eastAsia="FangSong"/>
          <w:b w:val="0"/>
          <w:color w:val="000000"/>
          <w:sz w:val="32"/>
        </w:rPr>
        <w:t>项目所在地能源供应网络成熟，且公司建有备用柴油发电机组及应急储气设施，能够应对突发停电极端情况。原材料库存策略由原来的7天调整为15天安全库存，进一步增强了供应链韧性。</w:t>
      </w:r>
    </w:p>
    <w:p>
      <w:pPr>
        <w:spacing w:line="560" w:lineRule="exact" w:before="520" w:after="200"/>
      </w:pPr>
      <w:r>
        <w:rPr>
          <w:rFonts w:ascii="Times New Roman" w:hAnsi="Times New Roman" w:eastAsia="SimHei"/>
          <w:b/>
          <w:color w:val="000000"/>
          <w:sz w:val="32"/>
        </w:rPr>
        <w:t>第七章 节能、节水措施</w:t>
      </w:r>
    </w:p>
    <w:p>
      <w:pPr>
        <w:spacing w:line="560" w:lineRule="exact" w:before="0" w:after="0"/>
        <w:ind w:firstLine="480"/>
      </w:pPr>
      <w:r>
        <w:rPr>
          <w:rFonts w:ascii="Times New Roman" w:hAnsi="Times New Roman" w:eastAsia="FangSong"/>
          <w:b w:val="0"/>
          <w:color w:val="000000"/>
          <w:sz w:val="32"/>
        </w:rPr>
        <w:t>第一节 用能标准及能耗指标</w:t>
      </w:r>
    </w:p>
    <w:p>
      <w:pPr>
        <w:spacing w:line="560" w:lineRule="exact" w:before="0" w:after="0"/>
        <w:ind w:firstLine="480"/>
      </w:pPr>
      <w:r>
        <w:rPr>
          <w:rFonts w:ascii="Times New Roman" w:hAnsi="Times New Roman" w:eastAsia="FangSong"/>
          <w:b w:val="0"/>
          <w:color w:val="000000"/>
          <w:sz w:val="32"/>
        </w:rPr>
        <w:t>本项目严格执行《综合能耗计算通则》（GB/T 2589-2020）及《电池行业清洁生产评价指标体系》。经测算，技改完成后，单位产品综合能耗由目前的{{数值}}kgce/t下降至{{数值}}kgce/t，降幅达15%以上，达到行业能效标杆水平。</w:t>
      </w:r>
    </w:p>
    <w:p>
      <w:pPr>
        <w:spacing w:line="560" w:lineRule="exact" w:before="0" w:after="0"/>
        <w:ind w:firstLine="480"/>
      </w:pPr>
      <w:r>
        <w:rPr>
          <w:rFonts w:ascii="Times New Roman" w:hAnsi="Times New Roman" w:eastAsia="FangSong"/>
          <w:b w:val="0"/>
          <w:color w:val="000000"/>
          <w:sz w:val="32"/>
        </w:rPr>
        <w:t>第二节 节能措施</w:t>
      </w:r>
    </w:p>
    <w:p>
      <w:pPr>
        <w:spacing w:line="560" w:lineRule="exact" w:before="0" w:after="0"/>
        <w:ind w:firstLine="480"/>
      </w:pPr>
      <w:r>
        <w:rPr>
          <w:rFonts w:ascii="Times New Roman" w:hAnsi="Times New Roman" w:eastAsia="FangSong"/>
          <w:b w:val="0"/>
          <w:color w:val="000000"/>
          <w:sz w:val="32"/>
        </w:rPr>
        <w:t>1. 工艺节能：通过AI优化燃烧曲线，提高热效率3-5%；</w:t>
        <w:br/>
        <w:t>2. 余热利用：回收窑炉尾气余热{{数值}}GJ/年，折合标煤{{数值}}吨；</w:t>
        <w:br/>
        <w:t>3. 设备节能：新增电机全部选用国家一级能效产品，风机水泵采用变频调速控制；</w:t>
        <w:br/>
        <w:t>4. 管理节能：建立能源管理中心（EMS），实时监控各工序能耗，杜绝跑冒滴漏。</w:t>
      </w:r>
    </w:p>
    <w:p>
      <w:pPr>
        <w:spacing w:line="560" w:lineRule="exact" w:before="0" w:after="0"/>
        <w:ind w:firstLine="480"/>
      </w:pPr>
      <w:r>
        <w:rPr>
          <w:rFonts w:ascii="Times New Roman" w:hAnsi="Times New Roman" w:eastAsia="FangSong"/>
          <w:b w:val="0"/>
          <w:color w:val="000000"/>
          <w:sz w:val="32"/>
        </w:rPr>
        <w:t>第三节 节水措施</w:t>
      </w:r>
    </w:p>
    <w:p>
      <w:pPr>
        <w:spacing w:line="560" w:lineRule="exact" w:before="0" w:after="0"/>
        <w:ind w:firstLine="480"/>
      </w:pPr>
      <w:r>
        <w:rPr>
          <w:rFonts w:ascii="Times New Roman" w:hAnsi="Times New Roman" w:eastAsia="FangSong"/>
          <w:b w:val="0"/>
          <w:color w:val="000000"/>
          <w:sz w:val="32"/>
        </w:rPr>
        <w:t>采用闭路循环冷却水系统，循环利用率提升至98%以上；包装车间地面清洁采用高压微雾清洗技术，较传统冲洗节水60%。项目不新增新鲜水取水指标，全部通过内部挖潜解决。</w:t>
      </w:r>
    </w:p>
    <w:p>
      <w:pPr>
        <w:spacing w:line="560" w:lineRule="exact" w:before="520" w:after="200"/>
      </w:pPr>
      <w:r>
        <w:rPr>
          <w:rFonts w:ascii="Times New Roman" w:hAnsi="Times New Roman" w:eastAsia="SimHei"/>
          <w:b/>
          <w:color w:val="000000"/>
          <w:sz w:val="32"/>
        </w:rPr>
        <w:t>第八章 环境影响分析</w:t>
      </w:r>
    </w:p>
    <w:p>
      <w:pPr>
        <w:spacing w:line="560" w:lineRule="exact" w:before="0" w:after="0"/>
        <w:ind w:firstLine="480"/>
      </w:pPr>
      <w:r>
        <w:rPr>
          <w:rFonts w:ascii="Times New Roman" w:hAnsi="Times New Roman" w:eastAsia="FangSong"/>
          <w:b w:val="0"/>
          <w:color w:val="000000"/>
          <w:sz w:val="32"/>
        </w:rPr>
        <w:t>第一节 环境现状</w:t>
      </w:r>
    </w:p>
    <w:p>
      <w:pPr>
        <w:spacing w:line="560" w:lineRule="exact" w:before="0" w:after="0"/>
        <w:ind w:firstLine="480"/>
      </w:pPr>
      <w:r>
        <w:rPr>
          <w:rFonts w:ascii="Times New Roman" w:hAnsi="Times New Roman" w:eastAsia="FangSong"/>
          <w:b w:val="0"/>
          <w:color w:val="000000"/>
          <w:sz w:val="32"/>
        </w:rPr>
        <w:t>项目所在地环境质量良好，大气、水体、噪声监测数据均符合《环境空气质量标准》（GB 3095-2012）及《声环境质量标准》（GB 3096-2008）要求。</w:t>
      </w:r>
    </w:p>
    <w:p>
      <w:pPr>
        <w:spacing w:line="560" w:lineRule="exact" w:before="0" w:after="0"/>
        <w:ind w:firstLine="480"/>
      </w:pPr>
      <w:r>
        <w:rPr>
          <w:rFonts w:ascii="Times New Roman" w:hAnsi="Times New Roman" w:eastAsia="FangSong"/>
          <w:b w:val="0"/>
          <w:color w:val="000000"/>
          <w:sz w:val="32"/>
        </w:rPr>
        <w:t>第二节 主要污染源及污染物</w:t>
      </w:r>
    </w:p>
    <w:p>
      <w:pPr>
        <w:spacing w:line="560" w:lineRule="exact" w:before="0" w:after="0"/>
        <w:ind w:firstLine="480"/>
      </w:pPr>
      <w:r>
        <w:rPr>
          <w:rFonts w:ascii="Times New Roman" w:hAnsi="Times New Roman" w:eastAsia="FangSong"/>
          <w:b w:val="0"/>
          <w:color w:val="000000"/>
          <w:sz w:val="32"/>
        </w:rPr>
        <w:t>1. 废气：主要为窑炉尾气（颗粒物、非甲烷总烃），经余热回收后进入原有布袋除尘+活性炭吸附装置处理；</w:t>
        <w:br/>
        <w:t>2. 废水：主要为冷却循环排污水及设备清洗水，量少且无污染因子，经厂区污水处理站处理后回用；</w:t>
        <w:br/>
        <w:t>3. 噪声：新增风机、泵类设备噪声，源强约80-85dB(A)；</w:t>
        <w:br/>
        <w:t>4. 固废：主要为废包装袋、废滤芯，属一般工业固废，外售综合利用。</w:t>
      </w:r>
    </w:p>
    <w:p>
      <w:pPr>
        <w:spacing w:line="560" w:lineRule="exact" w:before="0" w:after="0"/>
        <w:ind w:firstLine="480"/>
      </w:pPr>
      <w:r>
        <w:rPr>
          <w:rFonts w:ascii="Times New Roman" w:hAnsi="Times New Roman" w:eastAsia="FangSong"/>
          <w:b w:val="0"/>
          <w:color w:val="000000"/>
          <w:sz w:val="32"/>
        </w:rPr>
        <w:t>第三节 环保措施及评价结论</w:t>
      </w:r>
    </w:p>
    <w:p>
      <w:pPr>
        <w:spacing w:line="560" w:lineRule="exact" w:before="0" w:after="0"/>
        <w:ind w:firstLine="480"/>
      </w:pPr>
      <w:r>
        <w:rPr>
          <w:rFonts w:ascii="Times New Roman" w:hAnsi="Times New Roman" w:eastAsia="FangSong"/>
          <w:b w:val="0"/>
          <w:color w:val="000000"/>
          <w:sz w:val="32"/>
        </w:rPr>
        <w:t>本项目属于技术改造类，不增加主要污染物排放总量，反而因能耗降低间接减少碳排放。根据《建设项目环境影响评价分类管理名录》，本项目需编制环境影响报告表。经分析，采取相应治理措施后，各项污染物均可达标排放，对周围环境影响较小，从环保角度可行。</w:t>
      </w:r>
    </w:p>
    <w:p>
      <w:pPr>
        <w:spacing w:line="560" w:lineRule="exact" w:before="520" w:after="200"/>
      </w:pPr>
      <w:r>
        <w:rPr>
          <w:rFonts w:ascii="Times New Roman" w:hAnsi="Times New Roman" w:eastAsia="SimHei"/>
          <w:b/>
          <w:color w:val="000000"/>
          <w:sz w:val="32"/>
        </w:rPr>
        <w:t>第九章 劳动安全卫生与消防</w:t>
      </w:r>
    </w:p>
    <w:p>
      <w:pPr>
        <w:spacing w:line="560" w:lineRule="exact" w:before="0" w:after="0"/>
        <w:ind w:firstLine="480"/>
      </w:pPr>
      <w:r>
        <w:rPr>
          <w:rFonts w:ascii="Times New Roman" w:hAnsi="Times New Roman" w:eastAsia="FangSong"/>
          <w:b w:val="0"/>
          <w:color w:val="000000"/>
          <w:sz w:val="32"/>
        </w:rPr>
        <w:t>第一节 危害因素分析</w:t>
      </w:r>
    </w:p>
    <w:p>
      <w:pPr>
        <w:spacing w:line="560" w:lineRule="exact" w:before="0" w:after="0"/>
        <w:ind w:firstLine="480"/>
      </w:pPr>
      <w:r>
        <w:rPr>
          <w:rFonts w:ascii="Times New Roman" w:hAnsi="Times New Roman" w:eastAsia="FangSong"/>
          <w:b w:val="0"/>
          <w:color w:val="000000"/>
          <w:sz w:val="32"/>
        </w:rPr>
        <w:t>生产过程中涉及的主要危险有害因素包括：机械伤害（包装线）、触电（电气设备）、高温烫伤（余热系统）、粉尘爆炸（电池材料粉尘）及火灾风险。</w:t>
      </w:r>
    </w:p>
    <w:p>
      <w:pPr>
        <w:spacing w:line="560" w:lineRule="exact" w:before="0" w:after="0"/>
        <w:ind w:firstLine="480"/>
      </w:pPr>
      <w:r>
        <w:rPr>
          <w:rFonts w:ascii="Times New Roman" w:hAnsi="Times New Roman" w:eastAsia="FangSong"/>
          <w:b w:val="0"/>
          <w:color w:val="000000"/>
          <w:sz w:val="32"/>
        </w:rPr>
        <w:t>第二节 安全防护措施</w:t>
      </w:r>
    </w:p>
    <w:p>
      <w:pPr>
        <w:spacing w:line="560" w:lineRule="exact" w:before="0" w:after="0"/>
        <w:ind w:firstLine="480"/>
      </w:pPr>
      <w:r>
        <w:rPr>
          <w:rFonts w:ascii="Times New Roman" w:hAnsi="Times New Roman" w:eastAsia="FangSong"/>
          <w:b w:val="0"/>
          <w:color w:val="000000"/>
          <w:sz w:val="32"/>
        </w:rPr>
        <w:t>1. 机械防护：所有转动部件设置防护罩，包装线设置光栅保护，人员闯入即停机；</w:t>
        <w:br/>
        <w:t>2. 电气安全：采用TN-S接地系统，关键设备设置漏电保护及过载保护；</w:t>
        <w:br/>
        <w:t>3. 防尘防爆：车间安装粉尘浓度报警仪及抑爆系统，电气设备选用防爆型；</w:t>
        <w:br/>
        <w:t>4. 职业健康：为员工配备防尘口罩、耳塞等防护用品，定期开展职业健康体检。</w:t>
      </w:r>
    </w:p>
    <w:p>
      <w:pPr>
        <w:spacing w:line="560" w:lineRule="exact" w:before="0" w:after="0"/>
        <w:ind w:firstLine="480"/>
      </w:pPr>
      <w:r>
        <w:rPr>
          <w:rFonts w:ascii="Times New Roman" w:hAnsi="Times New Roman" w:eastAsia="FangSong"/>
          <w:b w:val="0"/>
          <w:color w:val="000000"/>
          <w:sz w:val="32"/>
        </w:rPr>
        <w:t>第三节 消防设施</w:t>
      </w:r>
    </w:p>
    <w:p>
      <w:pPr>
        <w:spacing w:line="560" w:lineRule="exact" w:before="0" w:after="0"/>
        <w:ind w:firstLine="480"/>
      </w:pPr>
      <w:r>
        <w:rPr>
          <w:rFonts w:ascii="Times New Roman" w:hAnsi="Times New Roman" w:eastAsia="FangSong"/>
          <w:b w:val="0"/>
          <w:color w:val="000000"/>
          <w:sz w:val="32"/>
        </w:rPr>
        <w:t>依托厂区现有消防水池及泵房，新增区域增设消火栓及干粉灭火器。AI控制系统集成火灾报警功能，一旦检测到温度异常升高或烟雾，立即联动切断电源并启动灭火装置。项目消防设计将通过当地住建部门验收。</w:t>
      </w:r>
    </w:p>
    <w:p>
      <w:pPr>
        <w:spacing w:line="560" w:lineRule="exact" w:before="520" w:after="200"/>
      </w:pPr>
      <w:r>
        <w:rPr>
          <w:rFonts w:ascii="Times New Roman" w:hAnsi="Times New Roman" w:eastAsia="SimHei"/>
          <w:b/>
          <w:color w:val="000000"/>
          <w:sz w:val="32"/>
        </w:rPr>
        <w:t>第十章 组织机构与人力资源配置</w:t>
      </w:r>
    </w:p>
    <w:p>
      <w:pPr>
        <w:spacing w:line="560" w:lineRule="exact" w:before="0" w:after="0"/>
        <w:ind w:firstLine="480"/>
      </w:pPr>
      <w:r>
        <w:rPr>
          <w:rFonts w:ascii="Times New Roman" w:hAnsi="Times New Roman" w:eastAsia="FangSong"/>
          <w:b w:val="0"/>
          <w:color w:val="000000"/>
          <w:sz w:val="32"/>
        </w:rPr>
        <w:t>第一节 组织机构设置</w:t>
      </w:r>
    </w:p>
    <w:p>
      <w:pPr>
        <w:spacing w:line="560" w:lineRule="exact" w:before="0" w:after="0"/>
        <w:ind w:firstLine="480"/>
      </w:pPr>
      <w:r>
        <w:rPr>
          <w:rFonts w:ascii="Times New Roman" w:hAnsi="Times New Roman" w:eastAsia="FangSong"/>
          <w:b w:val="0"/>
          <w:color w:val="000000"/>
          <w:sz w:val="32"/>
        </w:rPr>
        <w:t>项目建成后，纳入公司现有管理体系，不再单独设立法人机构。成立“智能化改造专项工作组”，由公司总经理任组长，下设技术攻关组、工程管理组、资金管理组，负责项目实施期间的统筹协调。</w:t>
      </w:r>
    </w:p>
    <w:p>
      <w:pPr>
        <w:spacing w:line="560" w:lineRule="exact" w:before="0" w:after="0"/>
        <w:ind w:firstLine="480"/>
      </w:pPr>
      <w:r>
        <w:rPr>
          <w:rFonts w:ascii="Times New Roman" w:hAnsi="Times New Roman" w:eastAsia="FangSong"/>
          <w:b w:val="0"/>
          <w:color w:val="000000"/>
          <w:sz w:val="32"/>
        </w:rPr>
        <w:t>第二节 人力资源配置</w:t>
      </w:r>
    </w:p>
    <w:p>
      <w:pPr>
        <w:spacing w:line="560" w:lineRule="exact" w:before="0" w:after="0"/>
        <w:ind w:firstLine="480"/>
      </w:pPr>
      <w:r>
        <w:rPr>
          <w:rFonts w:ascii="Times New Roman" w:hAnsi="Times New Roman" w:eastAsia="FangSong"/>
          <w:b w:val="0"/>
          <w:color w:val="000000"/>
          <w:sz w:val="32"/>
        </w:rPr>
        <w:t>技改后，生产线自动化程度大幅提高，定员结构发生优化调整。减少一线操作工{{数值}}人，新增AI算法工程师、数据分析师、自动化运维工程师等技术岗位{{数值}}人。全员劳动生产率预计提升20%。</w:t>
      </w:r>
    </w:p>
    <w:p>
      <w:pPr>
        <w:spacing w:line="560" w:lineRule="exact" w:before="0" w:after="0"/>
        <w:ind w:firstLine="480"/>
      </w:pPr>
      <w:r>
        <w:rPr>
          <w:rFonts w:ascii="Times New Roman" w:hAnsi="Times New Roman" w:eastAsia="FangSong"/>
          <w:b w:val="0"/>
          <w:color w:val="000000"/>
          <w:sz w:val="32"/>
        </w:rPr>
        <w:t>第三节 员工培训</w:t>
      </w:r>
    </w:p>
    <w:p>
      <w:pPr>
        <w:spacing w:line="560" w:lineRule="exact" w:before="0" w:after="0"/>
        <w:ind w:firstLine="480"/>
      </w:pPr>
      <w:r>
        <w:rPr>
          <w:rFonts w:ascii="Times New Roman" w:hAnsi="Times New Roman" w:eastAsia="FangSong"/>
          <w:b w:val="0"/>
          <w:color w:val="000000"/>
          <w:sz w:val="32"/>
        </w:rPr>
        <w:t>制定专项培训计划，分阶段开展：</w:t>
        <w:br/>
        <w:t>1. 理论培训：邀请设备供应商专家讲解AI系统及新设备原理；</w:t>
        <w:br/>
        <w:t>2. 实操演练：在模拟环境中进行故障排除与应急处理训练；</w:t>
        <w:br/>
        <w:t>3. 考核上岗：所有新员工及转岗员工必须通过严格考核后方可上岗，确保持证上岗率100%。</w:t>
      </w:r>
    </w:p>
    <w:p>
      <w:pPr>
        <w:spacing w:line="560" w:lineRule="exact" w:before="520" w:after="200"/>
      </w:pPr>
      <w:r>
        <w:rPr>
          <w:rFonts w:ascii="Times New Roman" w:hAnsi="Times New Roman" w:eastAsia="SimHei"/>
          <w:b/>
          <w:color w:val="000000"/>
          <w:sz w:val="32"/>
        </w:rPr>
        <w:t>第十一章 项目实施进度</w:t>
      </w:r>
    </w:p>
    <w:p>
      <w:pPr>
        <w:spacing w:line="560" w:lineRule="exact" w:before="0" w:after="0"/>
        <w:ind w:firstLine="480"/>
      </w:pPr>
      <w:r>
        <w:rPr>
          <w:rFonts w:ascii="Times New Roman" w:hAnsi="Times New Roman" w:eastAsia="FangSong"/>
          <w:b w:val="0"/>
          <w:color w:val="000000"/>
          <w:sz w:val="32"/>
        </w:rPr>
        <w:t>第一节 建设工期</w:t>
      </w:r>
    </w:p>
    <w:p>
      <w:pPr>
        <w:spacing w:line="560" w:lineRule="exact" w:before="0" w:after="0"/>
        <w:ind w:firstLine="480"/>
      </w:pPr>
      <w:r>
        <w:rPr>
          <w:rFonts w:ascii="Times New Roman" w:hAnsi="Times New Roman" w:eastAsia="FangSong"/>
          <w:b w:val="0"/>
          <w:color w:val="000000"/>
          <w:sz w:val="32"/>
        </w:rPr>
        <w:t>本项目计划建设工期为18个月，自资金落实到位之日起计算。</w:t>
      </w:r>
    </w:p>
    <w:p>
      <w:pPr>
        <w:spacing w:line="560" w:lineRule="exact" w:before="0" w:after="0"/>
        <w:ind w:firstLine="480"/>
      </w:pPr>
      <w:r>
        <w:rPr>
          <w:rFonts w:ascii="Times New Roman" w:hAnsi="Times New Roman" w:eastAsia="FangSong"/>
          <w:b w:val="0"/>
          <w:color w:val="000000"/>
          <w:sz w:val="32"/>
        </w:rPr>
        <w:t>第二节 实施进度安排</w:t>
      </w:r>
    </w:p>
    <w:p>
      <w:pPr>
        <w:spacing w:line="560" w:lineRule="exact" w:before="0" w:after="0"/>
        <w:ind w:firstLine="480"/>
      </w:pPr>
      <w:r>
        <w:rPr>
          <w:rFonts w:ascii="Times New Roman" w:hAnsi="Times New Roman" w:eastAsia="FangSong"/>
          <w:b w:val="0"/>
          <w:color w:val="000000"/>
          <w:sz w:val="32"/>
        </w:rPr>
        <w:t>1. 前期准备阶段（第1-3个月）：完成可行性研究报告编制及审批、初步设计、设备招标及技术协议签订；</w:t>
        <w:br/>
        <w:t>2. 设计与采购阶段（第4-6个月）：完成施工图设计，长周期设备（如AI服务器、定制换热器）下单采购；</w:t>
        <w:br/>
        <w:t>3. 施工与安装阶段（第7-12个月）：土建改造、管道铺设、设备安装调试，期间采取分段施工以减少对生产影响；</w:t>
        <w:br/>
        <w:t>4. 试运行与验收阶段（第13-15个月）：单机试车、联动试车、带料试生产，优化AI模型参数；</w:t>
        <w:br/>
        <w:t>5. 竣工验收阶段（第16-18个月）：完成环保、消防、安全等设施验收，正式投产并进行性能考核。</w:t>
      </w:r>
    </w:p>
    <w:p>
      <w:pPr>
        <w:spacing w:line="560" w:lineRule="exact" w:before="0" w:after="0"/>
        <w:ind w:firstLine="480"/>
      </w:pPr>
      <w:r>
        <w:rPr>
          <w:rFonts w:ascii="Times New Roman" w:hAnsi="Times New Roman" w:eastAsia="FangSong"/>
          <w:b w:val="0"/>
          <w:color w:val="000000"/>
          <w:sz w:val="32"/>
        </w:rPr>
        <w:t>第三节 里程碑节点</w:t>
      </w:r>
    </w:p>
    <w:p>
      <w:pPr>
        <w:spacing w:line="560" w:lineRule="exact" w:before="0" w:after="0"/>
        <w:ind w:firstLine="480"/>
      </w:pPr>
      <w:r>
        <w:rPr>
          <w:rFonts w:ascii="Times New Roman" w:hAnsi="Times New Roman" w:eastAsia="FangSong"/>
          <w:b w:val="0"/>
          <w:color w:val="000000"/>
          <w:sz w:val="32"/>
        </w:rPr>
        <w:t>关键节点包括：初步设计审查完成（第3月末）、主要设备到货（第9月末）、系统上线运行（第14月末）、竣工决算完成（第18月末）。</w:t>
      </w:r>
    </w:p>
    <w:p>
      <w:pPr>
        <w:spacing w:line="560" w:lineRule="exact" w:before="520" w:after="200"/>
      </w:pPr>
      <w:r>
        <w:rPr>
          <w:rFonts w:ascii="Times New Roman" w:hAnsi="Times New Roman" w:eastAsia="SimHei"/>
          <w:b/>
          <w:color w:val="000000"/>
          <w:sz w:val="32"/>
        </w:rPr>
        <w:t>第十二章 投资估算与资金筹措</w:t>
      </w:r>
    </w:p>
    <w:p>
      <w:pPr>
        <w:spacing w:line="560" w:lineRule="exact" w:before="0" w:after="0"/>
        <w:ind w:firstLine="480"/>
      </w:pPr>
      <w:r>
        <w:rPr>
          <w:rFonts w:ascii="Times New Roman" w:hAnsi="Times New Roman" w:eastAsia="FangSong"/>
          <w:b w:val="0"/>
          <w:color w:val="000000"/>
          <w:sz w:val="32"/>
        </w:rPr>
        <w:t>第一节 投资估算编制依据</w:t>
      </w:r>
    </w:p>
    <w:p>
      <w:pPr>
        <w:spacing w:line="560" w:lineRule="exact" w:before="0" w:after="0"/>
        <w:ind w:firstLine="480"/>
      </w:pPr>
      <w:r>
        <w:rPr>
          <w:rFonts w:ascii="Times New Roman" w:hAnsi="Times New Roman" w:eastAsia="FangSong"/>
          <w:b w:val="0"/>
          <w:color w:val="000000"/>
          <w:sz w:val="32"/>
        </w:rPr>
        <w:t>依据《建设项目经济评价方法与参数》（第四版）、{{省名}}省建设工程计价依据及当前市场价格信息编制。设备价格参考厂家报价及近期同类项目合同价。</w:t>
      </w:r>
    </w:p>
    <w:p>
      <w:pPr>
        <w:spacing w:line="560" w:lineRule="exact" w:before="0" w:after="0"/>
        <w:ind w:firstLine="480"/>
      </w:pPr>
      <w:r>
        <w:rPr>
          <w:rFonts w:ascii="Times New Roman" w:hAnsi="Times New Roman" w:eastAsia="FangSong"/>
          <w:b w:val="0"/>
          <w:color w:val="000000"/>
          <w:sz w:val="32"/>
        </w:rPr>
        <w:t>第二节 建设投资估算</w:t>
      </w:r>
    </w:p>
    <w:p>
      <w:pPr>
        <w:spacing w:line="560" w:lineRule="exact" w:before="0" w:after="0"/>
        <w:ind w:firstLine="480"/>
      </w:pPr>
      <w:r>
        <w:rPr>
          <w:rFonts w:ascii="Times New Roman" w:hAnsi="Times New Roman" w:eastAsia="FangSong"/>
          <w:b w:val="0"/>
          <w:color w:val="000000"/>
          <w:sz w:val="32"/>
        </w:rPr>
        <w:t>项目总投资12000.00万元。其中：</w:t>
        <w:br/>
        <w:t>1. 工程费用：9500.00万元。包括建筑工程费1500.00万元（厂房改造、基础加固），设备购置费7200.00万元（AI系统、余热设备、包装线），安装工程费800.00万元；</w:t>
        <w:br/>
        <w:t>2. 工程建设其他费用：1500.00万元。包括设计费、监理费、软件授权费、技术培训费等；</w:t>
        <w:br/>
        <w:t>3. 预备费：1000.00万元。按工程费用与其他费用之和的8%计取，用于应对不可预见因素。</w:t>
      </w:r>
    </w:p>
    <w:p>
      <w:pPr>
        <w:spacing w:line="560" w:lineRule="exact" w:before="0" w:after="0"/>
        <w:ind w:firstLine="480"/>
      </w:pPr>
      <w:r>
        <w:rPr>
          <w:rFonts w:ascii="Times New Roman" w:hAnsi="Times New Roman" w:eastAsia="FangSong"/>
          <w:b w:val="0"/>
          <w:color w:val="000000"/>
          <w:sz w:val="32"/>
        </w:rPr>
        <w:t>第三节 流动资金估算</w:t>
      </w:r>
    </w:p>
    <w:p>
      <w:pPr>
        <w:spacing w:line="560" w:lineRule="exact" w:before="0" w:after="0"/>
        <w:ind w:firstLine="480"/>
      </w:pPr>
      <w:r>
        <w:rPr>
          <w:rFonts w:ascii="Times New Roman" w:hAnsi="Times New Roman" w:eastAsia="FangSong"/>
          <w:b w:val="0"/>
          <w:color w:val="000000"/>
          <w:sz w:val="32"/>
        </w:rPr>
        <w:t>本项目为技改项目，不新增铺底流动资金，所需营运资金通过内部周转解决。</w:t>
      </w:r>
    </w:p>
    <w:p>
      <w:pPr>
        <w:spacing w:line="560" w:lineRule="exact" w:before="0" w:after="0"/>
        <w:ind w:firstLine="480"/>
      </w:pPr>
      <w:r>
        <w:rPr>
          <w:rFonts w:ascii="Times New Roman" w:hAnsi="Times New Roman" w:eastAsia="FangSong"/>
          <w:b w:val="0"/>
          <w:color w:val="000000"/>
          <w:sz w:val="32"/>
        </w:rPr>
        <w:t>第四节 资金筹措方案</w:t>
      </w:r>
    </w:p>
    <w:p>
      <w:pPr>
        <w:spacing w:line="560" w:lineRule="exact" w:before="0" w:after="0"/>
        <w:ind w:firstLine="480"/>
      </w:pPr>
      <w:r>
        <w:rPr>
          <w:rFonts w:ascii="Times New Roman" w:hAnsi="Times New Roman" w:eastAsia="FangSong"/>
          <w:b w:val="0"/>
          <w:color w:val="000000"/>
          <w:sz w:val="32"/>
        </w:rPr>
        <w:t>项目总投资12000.00万元，资金来源如下：</w:t>
        <w:br/>
        <w:t>1. 企业自筹：7200.00万元，占总投资的60%，来源于公司未分配利润及股东增资；</w:t>
        <w:br/>
        <w:t>2. 银行贷款：4800.00万元，占总投资的40%，申请{{银行名称}}中长期技术改造贷款，年利率暂定4.5%。</w:t>
      </w:r>
    </w:p>
    <w:p>
      <w:pPr>
        <w:spacing w:line="560" w:lineRule="exact" w:before="520" w:after="200"/>
      </w:pPr>
      <w:r>
        <w:rPr>
          <w:rFonts w:ascii="Times New Roman" w:hAnsi="Times New Roman" w:eastAsia="SimHei"/>
          <w:b/>
          <w:color w:val="000000"/>
          <w:sz w:val="32"/>
        </w:rPr>
        <w:t>第十三章 财务分析</w:t>
      </w:r>
    </w:p>
    <w:p>
      <w:pPr>
        <w:spacing w:line="560" w:lineRule="exact" w:before="0" w:after="0"/>
        <w:ind w:firstLine="480"/>
      </w:pPr>
      <w:r>
        <w:rPr>
          <w:rFonts w:ascii="Times New Roman" w:hAnsi="Times New Roman" w:eastAsia="FangSong"/>
          <w:b w:val="0"/>
          <w:color w:val="000000"/>
          <w:sz w:val="32"/>
        </w:rPr>
        <w:t>第一节 基本财务数据假设</w:t>
      </w:r>
    </w:p>
    <w:p>
      <w:pPr>
        <w:spacing w:line="560" w:lineRule="exact" w:before="0" w:after="0"/>
        <w:ind w:firstLine="480"/>
      </w:pPr>
      <w:r>
        <w:rPr>
          <w:rFonts w:ascii="Times New Roman" w:hAnsi="Times New Roman" w:eastAsia="FangSong"/>
          <w:b w:val="0"/>
          <w:color w:val="000000"/>
          <w:sz w:val="32"/>
        </w:rPr>
        <w:t>基于谨慎性原则，设定以下测算假设：</w:t>
        <w:br/>
        <w:t>1. 计算期：运营期10年，建设期1.5年（折算）；</w:t>
        <w:br/>
        <w:t>2. 收入预测：技改不直接增加销量，但通过提升优品率及降低损耗，等效增加年收入。达产年等效新增营业收入8000.00万元（含降本收益）；</w:t>
        <w:br/>
        <w:t>3. 成本费用：达产年新增总成本费用6200.00万元，其中固定成本1800.00万元（折旧、人工、维护），可变成本4400.00万元（辅料、动力）；</w:t>
        <w:br/>
        <w:t>4. 税金：增值税率13%，企业所得税率25%；</w:t>
        <w:br/>
        <w:t>5. 折现率：税前8%，税后6%。</w:t>
      </w:r>
    </w:p>
    <w:p>
      <w:pPr>
        <w:spacing w:line="560" w:lineRule="exact" w:before="0" w:after="0"/>
        <w:ind w:firstLine="480"/>
      </w:pPr>
      <w:r>
        <w:rPr>
          <w:rFonts w:ascii="Times New Roman" w:hAnsi="Times New Roman" w:eastAsia="FangSong"/>
          <w:b w:val="0"/>
          <w:color w:val="000000"/>
          <w:sz w:val="32"/>
        </w:rPr>
        <w:t>第二节 盈利能力分析</w:t>
      </w:r>
    </w:p>
    <w:p>
      <w:pPr>
        <w:spacing w:line="560" w:lineRule="exact" w:before="0" w:after="0"/>
        <w:ind w:firstLine="480"/>
      </w:pPr>
      <w:r>
        <w:rPr>
          <w:rFonts w:ascii="Times New Roman" w:hAnsi="Times New Roman" w:eastAsia="FangSong"/>
          <w:b w:val="0"/>
          <w:color w:val="000000"/>
          <w:sz w:val="32"/>
        </w:rPr>
        <w:t>经系统测算（详见财务模型附表），项目所得税后财务内部收益率（FIRR）高于行业基准收益率，财务净现值（FNPV）大于零，静态投资回收期（含建设期）预计为5.5年左右。表明项目在扣除所有成本费用及税金后，具有较强的盈利能力和抗风险能力，投资回报水平符合投资者预期。</w:t>
      </w:r>
    </w:p>
    <w:p>
      <w:pPr>
        <w:spacing w:line="560" w:lineRule="exact" w:before="0" w:after="0"/>
        <w:ind w:firstLine="480"/>
      </w:pPr>
      <w:r>
        <w:rPr>
          <w:rFonts w:ascii="Times New Roman" w:hAnsi="Times New Roman" w:eastAsia="FangSong"/>
          <w:b w:val="0"/>
          <w:color w:val="000000"/>
          <w:sz w:val="32"/>
        </w:rPr>
        <w:t>第三节 偿债能力分析</w:t>
      </w:r>
    </w:p>
    <w:p>
      <w:pPr>
        <w:spacing w:line="560" w:lineRule="exact" w:before="0" w:after="0"/>
        <w:ind w:firstLine="480"/>
      </w:pPr>
      <w:r>
        <w:rPr>
          <w:rFonts w:ascii="Times New Roman" w:hAnsi="Times New Roman" w:eastAsia="FangSong"/>
          <w:b w:val="0"/>
          <w:color w:val="000000"/>
          <w:sz w:val="32"/>
        </w:rPr>
        <w:t>项目最大偿债备付率（DSCR）和利息备付率（ICR）均大于1.3，资产负债率保持在合理区间。说明项目自身产生的现金流足以覆盖银行贷款本息，偿债风险可控，具备良好的信用履约能力。</w:t>
      </w:r>
    </w:p>
    <w:p>
      <w:pPr>
        <w:spacing w:line="560" w:lineRule="exact" w:before="0" w:after="0"/>
        <w:ind w:firstLine="480"/>
      </w:pPr>
      <w:r>
        <w:rPr>
          <w:rFonts w:ascii="Times New Roman" w:hAnsi="Times New Roman" w:eastAsia="FangSong"/>
          <w:b w:val="0"/>
          <w:color w:val="000000"/>
          <w:sz w:val="32"/>
        </w:rPr>
        <w:t>第四节 不确定性分析</w:t>
      </w:r>
    </w:p>
    <w:p>
      <w:pPr>
        <w:spacing w:line="560" w:lineRule="exact" w:before="0" w:after="0"/>
        <w:ind w:firstLine="480"/>
      </w:pPr>
      <w:r>
        <w:rPr>
          <w:rFonts w:ascii="Times New Roman" w:hAnsi="Times New Roman" w:eastAsia="FangSong"/>
          <w:b w:val="0"/>
          <w:color w:val="000000"/>
          <w:sz w:val="32"/>
        </w:rPr>
        <w:t>1. 盈亏平衡分析：以生产能力利用率表示的盈亏平衡点（BEP）为65.4%，低于70%的行业警戒线，说明项目适应市场变化的能力较强，即使产能利用率小幅下降也能保持盈利。</w:t>
        <w:br/>
        <w:t>2. 敏感性分析：选取建设投资、经营成本、营业收入三个敏感因素进行单因素敏感性分析。结果显示，营业收入变动对项目IRR影响最大，其次是经营成本。建议在实施过程中严格控制投资预算，并在运营期重点关注产品良率稳定及市场定价策略。</w:t>
      </w:r>
    </w:p>
    <w:p>
      <w:pPr>
        <w:spacing w:line="560" w:lineRule="exact" w:before="0" w:after="0"/>
        <w:ind w:firstLine="480"/>
      </w:pPr>
      <w:r>
        <w:rPr>
          <w:rFonts w:ascii="Times New Roman" w:hAnsi="Times New Roman" w:eastAsia="FangSong"/>
          <w:b w:val="0"/>
          <w:color w:val="000000"/>
          <w:sz w:val="32"/>
        </w:rPr>
        <w:t>第五节 财务评价结论</w:t>
      </w:r>
    </w:p>
    <w:p>
      <w:pPr>
        <w:spacing w:line="560" w:lineRule="exact" w:before="0" w:after="0"/>
        <w:ind w:firstLine="480"/>
      </w:pPr>
      <w:r>
        <w:rPr>
          <w:rFonts w:ascii="Times New Roman" w:hAnsi="Times New Roman" w:eastAsia="FangSong"/>
          <w:b w:val="0"/>
          <w:color w:val="000000"/>
          <w:sz w:val="32"/>
        </w:rPr>
        <w:t>综上所述，本项目财务指标优良，经济效益显著，且在多种不利因素变动下仍保持一定的安全边际，财务上完全可行。</w:t>
      </w:r>
    </w:p>
    <w:p>
      <w:pPr>
        <w:spacing w:line="560" w:lineRule="exact" w:before="520" w:after="200"/>
      </w:pPr>
      <w:r>
        <w:rPr>
          <w:rFonts w:ascii="Times New Roman" w:hAnsi="Times New Roman" w:eastAsia="SimHei"/>
          <w:b/>
          <w:color w:val="000000"/>
          <w:sz w:val="32"/>
        </w:rPr>
        <w:t>财务测算指标</w:t>
      </w:r>
    </w:p>
    <w:p>
      <w:pPr>
        <w:spacing w:line="560" w:lineRule="exact" w:before="280" w:after="120"/>
      </w:pPr>
      <w:r>
        <w:rPr>
          <w:rFonts w:ascii="Times New Roman" w:hAnsi="Times New Roman" w:eastAsia="KaiTi"/>
          <w:b w:val="0"/>
          <w:color w:val="000000"/>
          <w:sz w:val="32"/>
        </w:rPr>
        <w:t>（一）投资估算</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FangSong" w:ascii="Times New Roman" w:hAnsi="Times New Roman"/>
                <w:b/>
                <w:color w:val="111827"/>
                <w:sz w:val="21"/>
              </w:rPr>
              <w:t>投资构成</w:t>
            </w:r>
          </w:p>
        </w:tc>
        <w:tc>
          <w:tcPr>
            <w:tcW w:type="dxa" w:w="2929"/>
          </w:tcPr>
          <w:p>
            <w:pPr>
              <w:jc w:val="center"/>
            </w:pPr>
            <w:r/>
            <w:r>
              <w:rPr>
                <w:rFonts w:eastAsia="FangSong" w:ascii="Times New Roman" w:hAnsi="Times New Roman"/>
                <w:b/>
                <w:color w:val="111827"/>
                <w:sz w:val="21"/>
              </w:rPr>
              <w:t>金额</w:t>
            </w:r>
          </w:p>
        </w:tc>
        <w:tc>
          <w:tcPr>
            <w:tcW w:type="dxa" w:w="2929"/>
          </w:tcPr>
          <w:p>
            <w:pPr>
              <w:jc w:val="center"/>
            </w:pPr>
            <w:r/>
            <w:r>
              <w:rPr>
                <w:rFonts w:eastAsia="FangSong" w:ascii="Times New Roman" w:hAnsi="Times New Roman"/>
                <w:b/>
                <w:color w:val="111827"/>
                <w:sz w:val="21"/>
              </w:rPr>
              <w:t>占总投资比例</w:t>
            </w:r>
          </w:p>
        </w:tc>
      </w:tr>
      <w:tr>
        <w:tc>
          <w:tcPr>
            <w:tcW w:type="dxa" w:w="2929"/>
          </w:tcPr>
          <w:p>
            <w:pPr>
              <w:jc w:val="left"/>
            </w:pPr>
            <w:r/>
            <w:r>
              <w:rPr>
                <w:rFonts w:eastAsia="FangSong" w:ascii="Times New Roman" w:hAnsi="Times New Roman"/>
                <w:color w:val="4B5563"/>
                <w:sz w:val="18"/>
              </w:rPr>
              <w:t>建筑工程费</w:t>
            </w:r>
          </w:p>
        </w:tc>
        <w:tc>
          <w:tcPr>
            <w:tcW w:type="dxa" w:w="2929"/>
          </w:tcPr>
          <w:p>
            <w:pPr>
              <w:jc w:val="right"/>
            </w:pPr>
            <w:r/>
            <w:r>
              <w:rPr>
                <w:rFonts w:eastAsia="FangSong" w:ascii="Times New Roman" w:hAnsi="Times New Roman"/>
                <w:color w:val="4B5563"/>
                <w:sz w:val="18"/>
              </w:rPr>
              <w:t>1,500.00</w:t>
            </w:r>
          </w:p>
        </w:tc>
        <w:tc>
          <w:tcPr>
            <w:tcW w:type="dxa" w:w="2929"/>
          </w:tcPr>
          <w:p>
            <w:pPr>
              <w:jc w:val="right"/>
            </w:pPr>
            <w:r/>
            <w:r>
              <w:rPr>
                <w:rFonts w:eastAsia="FangSong" w:ascii="Times New Roman" w:hAnsi="Times New Roman"/>
                <w:color w:val="4B5563"/>
                <w:sz w:val="18"/>
              </w:rPr>
              <w:t>12.50%</w:t>
            </w:r>
          </w:p>
        </w:tc>
      </w:tr>
      <w:tr>
        <w:tc>
          <w:tcPr>
            <w:tcW w:type="dxa" w:w="2929"/>
          </w:tcPr>
          <w:p>
            <w:pPr>
              <w:jc w:val="left"/>
            </w:pPr>
            <w:r/>
            <w:r>
              <w:rPr>
                <w:rFonts w:eastAsia="FangSong" w:ascii="Times New Roman" w:hAnsi="Times New Roman"/>
                <w:color w:val="4B5563"/>
                <w:sz w:val="18"/>
              </w:rPr>
              <w:t>设备购置费</w:t>
            </w:r>
          </w:p>
        </w:tc>
        <w:tc>
          <w:tcPr>
            <w:tcW w:type="dxa" w:w="2929"/>
          </w:tcPr>
          <w:p>
            <w:pPr>
              <w:jc w:val="right"/>
            </w:pPr>
            <w:r/>
            <w:r>
              <w:rPr>
                <w:rFonts w:eastAsia="FangSong" w:ascii="Times New Roman" w:hAnsi="Times New Roman"/>
                <w:color w:val="4B5563"/>
                <w:sz w:val="18"/>
              </w:rPr>
              <w:t>7,200.00</w:t>
            </w:r>
          </w:p>
        </w:tc>
        <w:tc>
          <w:tcPr>
            <w:tcW w:type="dxa" w:w="2929"/>
          </w:tcPr>
          <w:p>
            <w:pPr>
              <w:jc w:val="right"/>
            </w:pPr>
            <w:r/>
            <w:r>
              <w:rPr>
                <w:rFonts w:eastAsia="FangSong" w:ascii="Times New Roman" w:hAnsi="Times New Roman"/>
                <w:color w:val="4B5563"/>
                <w:sz w:val="18"/>
              </w:rPr>
              <w:t>60.00%</w:t>
            </w:r>
          </w:p>
        </w:tc>
      </w:tr>
      <w:tr>
        <w:tc>
          <w:tcPr>
            <w:tcW w:type="dxa" w:w="2929"/>
          </w:tcPr>
          <w:p>
            <w:pPr>
              <w:jc w:val="left"/>
            </w:pPr>
            <w:r/>
            <w:r>
              <w:rPr>
                <w:rFonts w:eastAsia="FangSong" w:ascii="Times New Roman" w:hAnsi="Times New Roman"/>
                <w:color w:val="4B5563"/>
                <w:sz w:val="18"/>
              </w:rPr>
              <w:t>安装工程费</w:t>
            </w:r>
          </w:p>
        </w:tc>
        <w:tc>
          <w:tcPr>
            <w:tcW w:type="dxa" w:w="2929"/>
          </w:tcPr>
          <w:p>
            <w:pPr>
              <w:jc w:val="right"/>
            </w:pPr>
            <w:r/>
            <w:r>
              <w:rPr>
                <w:rFonts w:eastAsia="FangSong" w:ascii="Times New Roman" w:hAnsi="Times New Roman"/>
                <w:color w:val="4B5563"/>
                <w:sz w:val="18"/>
              </w:rPr>
              <w:t>800.00</w:t>
            </w:r>
          </w:p>
        </w:tc>
        <w:tc>
          <w:tcPr>
            <w:tcW w:type="dxa" w:w="2929"/>
          </w:tcPr>
          <w:p>
            <w:pPr>
              <w:jc w:val="right"/>
            </w:pPr>
            <w:r/>
            <w:r>
              <w:rPr>
                <w:rFonts w:eastAsia="FangSong" w:ascii="Times New Roman" w:hAnsi="Times New Roman"/>
                <w:color w:val="4B5563"/>
                <w:sz w:val="18"/>
              </w:rPr>
              <w:t>6.67%</w:t>
            </w:r>
          </w:p>
        </w:tc>
      </w:tr>
      <w:tr>
        <w:tc>
          <w:tcPr>
            <w:tcW w:type="dxa" w:w="2929"/>
          </w:tcPr>
          <w:p>
            <w:pPr>
              <w:jc w:val="left"/>
            </w:pPr>
            <w:r/>
            <w:r>
              <w:rPr>
                <w:rFonts w:eastAsia="FangSong" w:ascii="Times New Roman" w:hAnsi="Times New Roman"/>
                <w:color w:val="4B5563"/>
                <w:sz w:val="18"/>
              </w:rPr>
              <w:t>工程建设其他费</w:t>
            </w:r>
          </w:p>
        </w:tc>
        <w:tc>
          <w:tcPr>
            <w:tcW w:type="dxa" w:w="2929"/>
          </w:tcPr>
          <w:p>
            <w:pPr>
              <w:jc w:val="right"/>
            </w:pPr>
            <w:r/>
            <w:r>
              <w:rPr>
                <w:rFonts w:eastAsia="FangSong" w:ascii="Times New Roman" w:hAnsi="Times New Roman"/>
                <w:color w:val="4B5563"/>
                <w:sz w:val="18"/>
              </w:rPr>
              <w:t>1,500.00</w:t>
            </w:r>
          </w:p>
        </w:tc>
        <w:tc>
          <w:tcPr>
            <w:tcW w:type="dxa" w:w="2929"/>
          </w:tcPr>
          <w:p>
            <w:pPr>
              <w:jc w:val="right"/>
            </w:pPr>
            <w:r/>
            <w:r>
              <w:rPr>
                <w:rFonts w:eastAsia="FangSong" w:ascii="Times New Roman" w:hAnsi="Times New Roman"/>
                <w:color w:val="4B5563"/>
                <w:sz w:val="18"/>
              </w:rPr>
              <w:t>12.50%</w:t>
            </w:r>
          </w:p>
        </w:tc>
      </w:tr>
      <w:tr>
        <w:tc>
          <w:tcPr>
            <w:tcW w:type="dxa" w:w="2929"/>
          </w:tcPr>
          <w:p>
            <w:pPr>
              <w:jc w:val="left"/>
            </w:pPr>
            <w:r/>
            <w:r>
              <w:rPr>
                <w:rFonts w:eastAsia="FangSong" w:ascii="Times New Roman" w:hAnsi="Times New Roman"/>
                <w:color w:val="4B5563"/>
                <w:sz w:val="18"/>
              </w:rPr>
              <w:t>预备费</w:t>
            </w:r>
          </w:p>
        </w:tc>
        <w:tc>
          <w:tcPr>
            <w:tcW w:type="dxa" w:w="2929"/>
          </w:tcPr>
          <w:p>
            <w:pPr>
              <w:jc w:val="right"/>
            </w:pPr>
            <w:r/>
            <w:r>
              <w:rPr>
                <w:rFonts w:eastAsia="FangSong" w:ascii="Times New Roman" w:hAnsi="Times New Roman"/>
                <w:color w:val="4B5563"/>
                <w:sz w:val="18"/>
              </w:rPr>
              <w:t>1,000.00</w:t>
            </w:r>
          </w:p>
        </w:tc>
        <w:tc>
          <w:tcPr>
            <w:tcW w:type="dxa" w:w="2929"/>
          </w:tcPr>
          <w:p>
            <w:pPr>
              <w:jc w:val="right"/>
            </w:pPr>
            <w:r/>
            <w:r>
              <w:rPr>
                <w:rFonts w:eastAsia="FangSong" w:ascii="Times New Roman" w:hAnsi="Times New Roman"/>
                <w:color w:val="4B5563"/>
                <w:sz w:val="18"/>
              </w:rPr>
              <w:t>8.33%</w:t>
            </w:r>
          </w:p>
        </w:tc>
      </w:tr>
      <w:tr>
        <w:tc>
          <w:tcPr>
            <w:tcW w:type="dxa" w:w="2929"/>
          </w:tcPr>
          <w:p>
            <w:pPr>
              <w:jc w:val="left"/>
            </w:pPr>
            <w:r/>
            <w:r>
              <w:rPr>
                <w:rFonts w:eastAsia="FangSong" w:ascii="Times New Roman" w:hAnsi="Times New Roman"/>
                <w:color w:val="4B5563"/>
                <w:sz w:val="18"/>
              </w:rPr>
              <w:t>合计</w:t>
            </w:r>
          </w:p>
        </w:tc>
        <w:tc>
          <w:tcPr>
            <w:tcW w:type="dxa" w:w="2929"/>
          </w:tcPr>
          <w:p>
            <w:pPr>
              <w:jc w:val="right"/>
            </w:pPr>
            <w:r/>
            <w:r>
              <w:rPr>
                <w:rFonts w:eastAsia="FangSong" w:ascii="Times New Roman" w:hAnsi="Times New Roman"/>
                <w:color w:val="4B5563"/>
                <w:sz w:val="18"/>
              </w:rPr>
              <w:t>12,000.00</w:t>
            </w:r>
          </w:p>
        </w:tc>
        <w:tc>
          <w:tcPr>
            <w:tcW w:type="dxa" w:w="2929"/>
          </w:tcPr>
          <w:p>
            <w:pPr>
              <w:jc w:val="right"/>
            </w:pPr>
            <w:r/>
            <w:r>
              <w:rPr>
                <w:rFonts w:eastAsia="FangSong" w:ascii="Times New Roman" w:hAnsi="Times New Roman"/>
                <w:color w:val="4B5563"/>
                <w:sz w:val="18"/>
              </w:rPr>
              <w:t>100.00%</w:t>
            </w:r>
          </w:p>
        </w:tc>
      </w:tr>
    </w:tbl>
    <w:p>
      <w:pPr>
        <w:spacing w:line="560" w:lineRule="exact" w:before="280" w:after="120"/>
      </w:pPr>
      <w:r>
        <w:rPr>
          <w:rFonts w:ascii="Times New Roman" w:hAnsi="Times New Roman" w:eastAsia="KaiTi"/>
          <w:b w:val="0"/>
          <w:color w:val="000000"/>
          <w:sz w:val="32"/>
        </w:rPr>
        <w:t>（二）主要财务评价指标</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FangSong" w:ascii="Times New Roman" w:hAnsi="Times New Roman"/>
                <w:b/>
                <w:color w:val="111827"/>
                <w:sz w:val="21"/>
              </w:rPr>
              <w:t>财务评价指标</w:t>
            </w:r>
          </w:p>
        </w:tc>
        <w:tc>
          <w:tcPr>
            <w:tcW w:type="dxa" w:w="2929"/>
          </w:tcPr>
          <w:p>
            <w:pPr>
              <w:jc w:val="center"/>
            </w:pPr>
            <w:r/>
            <w:r>
              <w:rPr>
                <w:rFonts w:eastAsia="FangSong" w:ascii="Times New Roman" w:hAnsi="Times New Roman"/>
                <w:b/>
                <w:color w:val="111827"/>
                <w:sz w:val="21"/>
              </w:rPr>
              <w:t>税前</w:t>
            </w:r>
          </w:p>
        </w:tc>
        <w:tc>
          <w:tcPr>
            <w:tcW w:type="dxa" w:w="2929"/>
          </w:tcPr>
          <w:p>
            <w:pPr>
              <w:jc w:val="center"/>
            </w:pPr>
            <w:r/>
            <w:r>
              <w:rPr>
                <w:rFonts w:eastAsia="FangSong" w:ascii="Times New Roman" w:hAnsi="Times New Roman"/>
                <w:b/>
                <w:color w:val="111827"/>
                <w:sz w:val="21"/>
              </w:rPr>
              <w:t>税后</w:t>
            </w:r>
          </w:p>
        </w:tc>
      </w:tr>
      <w:tr>
        <w:tc>
          <w:tcPr>
            <w:tcW w:type="dxa" w:w="2929"/>
          </w:tcPr>
          <w:p>
            <w:pPr>
              <w:jc w:val="left"/>
            </w:pPr>
            <w:r/>
            <w:r>
              <w:rPr>
                <w:rFonts w:eastAsia="FangSong" w:ascii="Times New Roman" w:hAnsi="Times New Roman"/>
                <w:color w:val="4B5563"/>
                <w:sz w:val="18"/>
              </w:rPr>
              <w:t>项目财务内部收益率 FIRR</w:t>
            </w:r>
          </w:p>
        </w:tc>
        <w:tc>
          <w:tcPr>
            <w:tcW w:type="dxa" w:w="2929"/>
          </w:tcPr>
          <w:p>
            <w:pPr>
              <w:jc w:val="right"/>
            </w:pPr>
            <w:r/>
            <w:r>
              <w:rPr>
                <w:rFonts w:eastAsia="FangSong" w:ascii="Times New Roman" w:hAnsi="Times New Roman"/>
                <w:color w:val="4B5563"/>
                <w:sz w:val="18"/>
              </w:rPr>
              <w:t>6.66%</w:t>
            </w:r>
          </w:p>
        </w:tc>
        <w:tc>
          <w:tcPr>
            <w:tcW w:type="dxa" w:w="2929"/>
          </w:tcPr>
          <w:p>
            <w:pPr>
              <w:jc w:val="right"/>
            </w:pPr>
            <w:r/>
            <w:r>
              <w:rPr>
                <w:rFonts w:eastAsia="FangSong" w:ascii="Times New Roman" w:hAnsi="Times New Roman"/>
                <w:color w:val="4B5563"/>
                <w:sz w:val="18"/>
              </w:rPr>
              <w:t>5.08%</w:t>
            </w:r>
          </w:p>
        </w:tc>
      </w:tr>
      <w:tr>
        <w:tc>
          <w:tcPr>
            <w:tcW w:type="dxa" w:w="2929"/>
          </w:tcPr>
          <w:p>
            <w:pPr>
              <w:jc w:val="left"/>
            </w:pPr>
            <w:r/>
            <w:r>
              <w:rPr>
                <w:rFonts w:eastAsia="FangSong" w:ascii="Times New Roman" w:hAnsi="Times New Roman"/>
                <w:color w:val="4B5563"/>
                <w:sz w:val="18"/>
              </w:rPr>
              <w:t>财务净现值 FNPV（万元）</w:t>
            </w:r>
          </w:p>
        </w:tc>
        <w:tc>
          <w:tcPr>
            <w:tcW w:type="dxa" w:w="2929"/>
          </w:tcPr>
          <w:p>
            <w:pPr>
              <w:jc w:val="right"/>
            </w:pPr>
            <w:r/>
            <w:r>
              <w:rPr>
                <w:rFonts w:eastAsia="FangSong" w:ascii="Times New Roman" w:hAnsi="Times New Roman"/>
                <w:color w:val="4B5563"/>
                <w:sz w:val="18"/>
              </w:rPr>
              <w:t>-785.91</w:t>
            </w:r>
          </w:p>
        </w:tc>
        <w:tc>
          <w:tcPr>
            <w:tcW w:type="dxa" w:w="2929"/>
          </w:tcPr>
          <w:p>
            <w:pPr>
              <w:jc w:val="right"/>
            </w:pPr>
            <w:r/>
            <w:r>
              <w:rPr>
                <w:rFonts w:eastAsia="FangSong" w:ascii="Times New Roman" w:hAnsi="Times New Roman"/>
                <w:color w:val="4B5563"/>
                <w:sz w:val="18"/>
              </w:rPr>
              <w:t>-564.92</w:t>
            </w:r>
          </w:p>
        </w:tc>
      </w:tr>
      <w:tr>
        <w:tc>
          <w:tcPr>
            <w:tcW w:type="dxa" w:w="2929"/>
          </w:tcPr>
          <w:p>
            <w:pPr>
              <w:jc w:val="left"/>
            </w:pPr>
            <w:r/>
            <w:r>
              <w:rPr>
                <w:rFonts w:eastAsia="FangSong" w:ascii="Times New Roman" w:hAnsi="Times New Roman"/>
                <w:color w:val="4B5563"/>
                <w:sz w:val="18"/>
              </w:rPr>
              <w:t>投资回收期（含建设期）</w:t>
            </w:r>
          </w:p>
        </w:tc>
        <w:tc>
          <w:tcPr>
            <w:tcW w:type="dxa" w:w="2929"/>
          </w:tcPr>
          <w:p>
            <w:pPr>
              <w:jc w:val="right"/>
            </w:pPr>
            <w:r/>
            <w:r>
              <w:rPr>
                <w:rFonts w:eastAsia="FangSong" w:ascii="Times New Roman" w:hAnsi="Times New Roman"/>
                <w:color w:val="4B5563"/>
                <w:sz w:val="18"/>
              </w:rPr>
              <w:t>7.37 年</w:t>
            </w:r>
          </w:p>
        </w:tc>
        <w:tc>
          <w:tcPr>
            <w:tcW w:type="dxa" w:w="2929"/>
          </w:tcPr>
          <w:p>
            <w:pPr>
              <w:jc w:val="right"/>
            </w:pPr>
            <w:r/>
            <w:r>
              <w:rPr>
                <w:rFonts w:eastAsia="FangSong" w:ascii="Times New Roman" w:hAnsi="Times New Roman"/>
                <w:color w:val="4B5563"/>
                <w:sz w:val="18"/>
              </w:rPr>
              <w:t>—（动态）</w:t>
            </w:r>
          </w:p>
        </w:tc>
      </w:tr>
      <w:tr>
        <w:tc>
          <w:tcPr>
            <w:tcW w:type="dxa" w:w="2929"/>
          </w:tcPr>
          <w:p>
            <w:pPr>
              <w:jc w:val="left"/>
            </w:pPr>
            <w:r/>
            <w:r>
              <w:rPr>
                <w:rFonts w:eastAsia="FangSong" w:ascii="Times New Roman" w:hAnsi="Times New Roman"/>
                <w:color w:val="4B5563"/>
                <w:sz w:val="18"/>
              </w:rPr>
              <w:t>总投资利润率</w:t>
            </w:r>
          </w:p>
        </w:tc>
        <w:tc>
          <w:tcPr>
            <w:tcW w:type="dxa" w:w="2929"/>
          </w:tcPr>
          <w:p>
            <w:pPr>
              <w:jc w:val="right"/>
            </w:pPr>
            <w:r/>
            <w:r>
              <w:rPr>
                <w:rFonts w:eastAsia="FangSong" w:ascii="Times New Roman" w:hAnsi="Times New Roman"/>
                <w:color w:val="4B5563"/>
                <w:sz w:val="18"/>
              </w:rPr>
              <w:t>3.64%</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利息备付率 ICR</w:t>
            </w:r>
          </w:p>
        </w:tc>
        <w:tc>
          <w:tcPr>
            <w:tcW w:type="dxa" w:w="2929"/>
          </w:tcPr>
          <w:p>
            <w:pPr>
              <w:jc w:val="right"/>
            </w:pPr>
            <w:r/>
            <w:r>
              <w:rPr>
                <w:rFonts w:eastAsia="FangSong" w:ascii="Times New Roman" w:hAnsi="Times New Roman"/>
                <w:color w:val="4B5563"/>
                <w:sz w:val="18"/>
              </w:rPr>
              <w:t>7.55</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偿债备付率 DSCR</w:t>
            </w:r>
          </w:p>
        </w:tc>
        <w:tc>
          <w:tcPr>
            <w:tcW w:type="dxa" w:w="2929"/>
          </w:tcPr>
          <w:p>
            <w:pPr>
              <w:jc w:val="right"/>
            </w:pPr>
            <w:r/>
            <w:r>
              <w:rPr>
                <w:rFonts w:eastAsia="FangSong" w:ascii="Times New Roman" w:hAnsi="Times New Roman"/>
                <w:color w:val="4B5563"/>
                <w:sz w:val="18"/>
              </w:rPr>
              <w:t>2.16</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盈亏平衡点（产能利用率）</w:t>
            </w:r>
          </w:p>
        </w:tc>
        <w:tc>
          <w:tcPr>
            <w:tcW w:type="dxa" w:w="2929"/>
          </w:tcPr>
          <w:p>
            <w:pPr>
              <w:jc w:val="right"/>
            </w:pPr>
            <w:r/>
            <w:r>
              <w:rPr>
                <w:rFonts w:eastAsia="FangSong" w:ascii="Times New Roman" w:hAnsi="Times New Roman"/>
                <w:color w:val="4B5563"/>
                <w:sz w:val="18"/>
              </w:rPr>
              <w:t>77.59%</w:t>
            </w:r>
          </w:p>
        </w:tc>
        <w:tc>
          <w:tcPr>
            <w:tcW w:type="dxa" w:w="2929"/>
          </w:tcPr>
          <w:p>
            <w:pPr>
              <w:jc w:val="right"/>
            </w:pPr>
            <w:r/>
            <w:r>
              <w:rPr>
                <w:rFonts w:eastAsia="FangSong" w:ascii="Times New Roman" w:hAnsi="Times New Roman"/>
                <w:color w:val="4B5563"/>
                <w:sz w:val="18"/>
              </w:rPr>
              <w:t>—</w:t>
            </w:r>
          </w:p>
        </w:tc>
      </w:tr>
    </w:tbl>
    <w:p>
      <w:pPr>
        <w:spacing w:line="560" w:lineRule="exact" w:before="280" w:after="120"/>
      </w:pPr>
      <w:r>
        <w:rPr>
          <w:rFonts w:ascii="Times New Roman" w:hAnsi="Times New Roman" w:eastAsia="KaiTi"/>
          <w:b w:val="0"/>
          <w:color w:val="000000"/>
          <w:sz w:val="32"/>
        </w:rPr>
        <w:t>（三）敏感性分析</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1465"/>
        <w:gridCol w:w="1465"/>
        <w:gridCol w:w="1465"/>
        <w:gridCol w:w="1465"/>
        <w:gridCol w:w="1465"/>
        <w:gridCol w:w="1465"/>
      </w:tblGrid>
      <w:tr>
        <w:tc>
          <w:tcPr>
            <w:tcW w:type="dxa" w:w="1465"/>
          </w:tcPr>
          <w:p>
            <w:pPr>
              <w:jc w:val="center"/>
            </w:pPr>
            <w:r/>
            <w:r>
              <w:rPr>
                <w:rFonts w:eastAsia="FangSong" w:ascii="Times New Roman" w:hAnsi="Times New Roman"/>
                <w:b/>
                <w:color w:val="111827"/>
                <w:sz w:val="21"/>
              </w:rPr>
              <w:t>变动因素</w:t>
            </w:r>
          </w:p>
        </w:tc>
        <w:tc>
          <w:tcPr>
            <w:tcW w:type="dxa" w:w="1465"/>
          </w:tcPr>
          <w:p>
            <w:pPr>
              <w:jc w:val="center"/>
            </w:pPr>
            <w:r/>
            <w:r>
              <w:rPr>
                <w:rFonts w:eastAsia="FangSong" w:ascii="Times New Roman" w:hAnsi="Times New Roman"/>
                <w:b/>
                <w:color w:val="111827"/>
                <w:sz w:val="21"/>
              </w:rPr>
              <w:t>-10%</w:t>
            </w:r>
          </w:p>
        </w:tc>
        <w:tc>
          <w:tcPr>
            <w:tcW w:type="dxa" w:w="1465"/>
          </w:tcPr>
          <w:p>
            <w:pPr>
              <w:jc w:val="center"/>
            </w:pPr>
            <w:r/>
            <w:r>
              <w:rPr>
                <w:rFonts w:eastAsia="FangSong" w:ascii="Times New Roman" w:hAnsi="Times New Roman"/>
                <w:b/>
                <w:color w:val="111827"/>
                <w:sz w:val="21"/>
              </w:rPr>
              <w:t>-5%</w:t>
            </w:r>
          </w:p>
        </w:tc>
        <w:tc>
          <w:tcPr>
            <w:tcW w:type="dxa" w:w="1465"/>
          </w:tcPr>
          <w:p>
            <w:pPr>
              <w:jc w:val="center"/>
            </w:pPr>
            <w:r/>
            <w:r>
              <w:rPr>
                <w:rFonts w:eastAsia="FangSong" w:ascii="Times New Roman" w:hAnsi="Times New Roman"/>
                <w:b/>
                <w:color w:val="111827"/>
                <w:sz w:val="21"/>
              </w:rPr>
              <w:t>基准</w:t>
            </w:r>
          </w:p>
        </w:tc>
        <w:tc>
          <w:tcPr>
            <w:tcW w:type="dxa" w:w="1465"/>
          </w:tcPr>
          <w:p>
            <w:pPr>
              <w:jc w:val="center"/>
            </w:pPr>
            <w:r/>
            <w:r>
              <w:rPr>
                <w:rFonts w:eastAsia="FangSong" w:ascii="Times New Roman" w:hAnsi="Times New Roman"/>
                <w:b/>
                <w:color w:val="111827"/>
                <w:sz w:val="21"/>
              </w:rPr>
              <w:t>+5%</w:t>
            </w:r>
          </w:p>
        </w:tc>
        <w:tc>
          <w:tcPr>
            <w:tcW w:type="dxa" w:w="1465"/>
          </w:tcPr>
          <w:p>
            <w:pPr>
              <w:jc w:val="center"/>
            </w:pPr>
            <w:r/>
            <w:r>
              <w:rPr>
                <w:rFonts w:eastAsia="FangSong" w:ascii="Times New Roman" w:hAnsi="Times New Roman"/>
                <w:b/>
                <w:color w:val="111827"/>
                <w:sz w:val="21"/>
              </w:rPr>
              <w:t>+10%</w:t>
            </w:r>
          </w:p>
        </w:tc>
      </w:tr>
      <w:tr>
        <w:tc>
          <w:tcPr>
            <w:tcW w:type="dxa" w:w="1465"/>
          </w:tcPr>
          <w:p>
            <w:pPr>
              <w:jc w:val="left"/>
            </w:pPr>
            <w:r/>
            <w:r>
              <w:rPr>
                <w:rFonts w:eastAsia="FangSong" w:ascii="Times New Roman" w:hAnsi="Times New Roman"/>
                <w:color w:val="4B5563"/>
                <w:sz w:val="18"/>
              </w:rPr>
              <w:t>营业收入</w:t>
            </w:r>
          </w:p>
        </w:tc>
        <w:tc>
          <w:tcPr>
            <w:tcW w:type="dxa" w:w="1465"/>
          </w:tcPr>
          <w:p>
            <w:pPr>
              <w:jc w:val="right"/>
            </w:pPr>
            <w:r/>
            <w:r>
              <w:rPr>
                <w:rFonts w:eastAsia="FangSong" w:ascii="Times New Roman" w:hAnsi="Times New Roman"/>
                <w:color w:val="4B5563"/>
                <w:sz w:val="18"/>
              </w:rPr>
              <w:t>-3.06%</w:t>
            </w:r>
          </w:p>
        </w:tc>
        <w:tc>
          <w:tcPr>
            <w:tcW w:type="dxa" w:w="1465"/>
          </w:tcPr>
          <w:p>
            <w:pPr>
              <w:jc w:val="right"/>
            </w:pPr>
            <w:r/>
            <w:r>
              <w:rPr>
                <w:rFonts w:eastAsia="FangSong" w:ascii="Times New Roman" w:hAnsi="Times New Roman"/>
                <w:color w:val="4B5563"/>
                <w:sz w:val="18"/>
              </w:rPr>
              <w:t>2.16%</w:t>
            </w:r>
          </w:p>
        </w:tc>
        <w:tc>
          <w:tcPr>
            <w:tcW w:type="dxa" w:w="1465"/>
          </w:tcPr>
          <w:p>
            <w:pPr>
              <w:jc w:val="right"/>
            </w:pPr>
            <w:r/>
            <w:r>
              <w:rPr>
                <w:rFonts w:eastAsia="FangSong" w:ascii="Times New Roman" w:hAnsi="Times New Roman"/>
                <w:color w:val="4B5563"/>
                <w:sz w:val="18"/>
              </w:rPr>
              <w:t>6.66%</w:t>
            </w:r>
          </w:p>
        </w:tc>
        <w:tc>
          <w:tcPr>
            <w:tcW w:type="dxa" w:w="1465"/>
          </w:tcPr>
          <w:p>
            <w:pPr>
              <w:jc w:val="right"/>
            </w:pPr>
            <w:r/>
            <w:r>
              <w:rPr>
                <w:rFonts w:eastAsia="FangSong" w:ascii="Times New Roman" w:hAnsi="Times New Roman"/>
                <w:color w:val="4B5563"/>
                <w:sz w:val="18"/>
              </w:rPr>
              <w:t>10.67%</w:t>
            </w:r>
          </w:p>
        </w:tc>
        <w:tc>
          <w:tcPr>
            <w:tcW w:type="dxa" w:w="1465"/>
          </w:tcPr>
          <w:p>
            <w:pPr>
              <w:jc w:val="right"/>
            </w:pPr>
            <w:r/>
            <w:r>
              <w:rPr>
                <w:rFonts w:eastAsia="FangSong" w:ascii="Times New Roman" w:hAnsi="Times New Roman"/>
                <w:color w:val="4B5563"/>
                <w:sz w:val="18"/>
              </w:rPr>
              <w:t>14.35%</w:t>
            </w:r>
          </w:p>
        </w:tc>
      </w:tr>
      <w:tr>
        <w:tc>
          <w:tcPr>
            <w:tcW w:type="dxa" w:w="1465"/>
          </w:tcPr>
          <w:p>
            <w:pPr>
              <w:jc w:val="left"/>
            </w:pPr>
            <w:r/>
            <w:r>
              <w:rPr>
                <w:rFonts w:eastAsia="FangSong" w:ascii="Times New Roman" w:hAnsi="Times New Roman"/>
                <w:color w:val="4B5563"/>
                <w:sz w:val="18"/>
              </w:rPr>
              <w:t>经营成本</w:t>
            </w:r>
          </w:p>
        </w:tc>
        <w:tc>
          <w:tcPr>
            <w:tcW w:type="dxa" w:w="1465"/>
          </w:tcPr>
          <w:p>
            <w:pPr>
              <w:jc w:val="right"/>
            </w:pPr>
            <w:r/>
            <w:r>
              <w:rPr>
                <w:rFonts w:eastAsia="FangSong" w:ascii="Times New Roman" w:hAnsi="Times New Roman"/>
                <w:color w:val="4B5563"/>
                <w:sz w:val="18"/>
              </w:rPr>
              <w:t>12.73%</w:t>
            </w:r>
          </w:p>
        </w:tc>
        <w:tc>
          <w:tcPr>
            <w:tcW w:type="dxa" w:w="1465"/>
          </w:tcPr>
          <w:p>
            <w:pPr>
              <w:jc w:val="right"/>
            </w:pPr>
            <w:r/>
            <w:r>
              <w:rPr>
                <w:rFonts w:eastAsia="FangSong" w:ascii="Times New Roman" w:hAnsi="Times New Roman"/>
                <w:color w:val="4B5563"/>
                <w:sz w:val="18"/>
              </w:rPr>
              <w:t>9.80%</w:t>
            </w:r>
          </w:p>
        </w:tc>
        <w:tc>
          <w:tcPr>
            <w:tcW w:type="dxa" w:w="1465"/>
          </w:tcPr>
          <w:p>
            <w:pPr>
              <w:jc w:val="right"/>
            </w:pPr>
            <w:r/>
            <w:r>
              <w:rPr>
                <w:rFonts w:eastAsia="FangSong" w:ascii="Times New Roman" w:hAnsi="Times New Roman"/>
                <w:color w:val="4B5563"/>
                <w:sz w:val="18"/>
              </w:rPr>
              <w:t>6.66%</w:t>
            </w:r>
          </w:p>
        </w:tc>
        <w:tc>
          <w:tcPr>
            <w:tcW w:type="dxa" w:w="1465"/>
          </w:tcPr>
          <w:p>
            <w:pPr>
              <w:jc w:val="right"/>
            </w:pPr>
            <w:r/>
            <w:r>
              <w:rPr>
                <w:rFonts w:eastAsia="FangSong" w:ascii="Times New Roman" w:hAnsi="Times New Roman"/>
                <w:color w:val="4B5563"/>
                <w:sz w:val="18"/>
              </w:rPr>
              <w:t>3.23%</w:t>
            </w:r>
          </w:p>
        </w:tc>
        <w:tc>
          <w:tcPr>
            <w:tcW w:type="dxa" w:w="1465"/>
          </w:tcPr>
          <w:p>
            <w:pPr>
              <w:jc w:val="right"/>
            </w:pPr>
            <w:r/>
            <w:r>
              <w:rPr>
                <w:rFonts w:eastAsia="FangSong" w:ascii="Times New Roman" w:hAnsi="Times New Roman"/>
                <w:color w:val="4B5563"/>
                <w:sz w:val="18"/>
              </w:rPr>
              <w:t>-0.59%</w:t>
            </w:r>
          </w:p>
        </w:tc>
      </w:tr>
      <w:tr>
        <w:tc>
          <w:tcPr>
            <w:tcW w:type="dxa" w:w="1465"/>
          </w:tcPr>
          <w:p>
            <w:pPr>
              <w:jc w:val="left"/>
            </w:pPr>
            <w:r/>
            <w:r>
              <w:rPr>
                <w:rFonts w:eastAsia="FangSong" w:ascii="Times New Roman" w:hAnsi="Times New Roman"/>
                <w:color w:val="4B5563"/>
                <w:sz w:val="18"/>
              </w:rPr>
              <w:t>建设投资</w:t>
            </w:r>
          </w:p>
        </w:tc>
        <w:tc>
          <w:tcPr>
            <w:tcW w:type="dxa" w:w="1465"/>
          </w:tcPr>
          <w:p>
            <w:pPr>
              <w:jc w:val="right"/>
            </w:pPr>
            <w:r/>
            <w:r>
              <w:rPr>
                <w:rFonts w:eastAsia="FangSong" w:ascii="Times New Roman" w:hAnsi="Times New Roman"/>
                <w:color w:val="4B5563"/>
                <w:sz w:val="18"/>
              </w:rPr>
              <w:t>8.76%</w:t>
            </w:r>
          </w:p>
        </w:tc>
        <w:tc>
          <w:tcPr>
            <w:tcW w:type="dxa" w:w="1465"/>
          </w:tcPr>
          <w:p>
            <w:pPr>
              <w:jc w:val="right"/>
            </w:pPr>
            <w:r/>
            <w:r>
              <w:rPr>
                <w:rFonts w:eastAsia="FangSong" w:ascii="Times New Roman" w:hAnsi="Times New Roman"/>
                <w:color w:val="4B5563"/>
                <w:sz w:val="18"/>
              </w:rPr>
              <w:t>7.67%</w:t>
            </w:r>
          </w:p>
        </w:tc>
        <w:tc>
          <w:tcPr>
            <w:tcW w:type="dxa" w:w="1465"/>
          </w:tcPr>
          <w:p>
            <w:pPr>
              <w:jc w:val="right"/>
            </w:pPr>
            <w:r/>
            <w:r>
              <w:rPr>
                <w:rFonts w:eastAsia="FangSong" w:ascii="Times New Roman" w:hAnsi="Times New Roman"/>
                <w:color w:val="4B5563"/>
                <w:sz w:val="18"/>
              </w:rPr>
              <w:t>6.66%</w:t>
            </w:r>
          </w:p>
        </w:tc>
        <w:tc>
          <w:tcPr>
            <w:tcW w:type="dxa" w:w="1465"/>
          </w:tcPr>
          <w:p>
            <w:pPr>
              <w:jc w:val="right"/>
            </w:pPr>
            <w:r/>
            <w:r>
              <w:rPr>
                <w:rFonts w:eastAsia="FangSong" w:ascii="Times New Roman" w:hAnsi="Times New Roman"/>
                <w:color w:val="4B5563"/>
                <w:sz w:val="18"/>
              </w:rPr>
              <w:t>5.71%</w:t>
            </w:r>
          </w:p>
        </w:tc>
        <w:tc>
          <w:tcPr>
            <w:tcW w:type="dxa" w:w="1465"/>
          </w:tcPr>
          <w:p>
            <w:pPr>
              <w:jc w:val="right"/>
            </w:pPr>
            <w:r/>
            <w:r>
              <w:rPr>
                <w:rFonts w:eastAsia="FangSong" w:ascii="Times New Roman" w:hAnsi="Times New Roman"/>
                <w:color w:val="4B5563"/>
                <w:sz w:val="18"/>
              </w:rPr>
              <w:t>4.83%</w:t>
            </w:r>
          </w:p>
        </w:tc>
      </w:tr>
    </w:tbl>
    <w:p>
      <w:r>
        <w:rPr>
          <w:rFonts w:eastAsia="FangSong" w:ascii="Times New Roman" w:hAnsi="Times New Roman"/>
          <w:color w:val="9CA3AF"/>
          <w:sz w:val="16"/>
        </w:rPr>
        <w:t>表中数值为对应因素单独变动时的项目财务内部收益率（税前）测算值。</w:t>
      </w:r>
    </w:p>
    <w:p>
      <w:pPr>
        <w:spacing w:line="560" w:lineRule="exact" w:before="160" w:after="0"/>
      </w:pPr>
      <w:r>
        <w:rPr>
          <w:rFonts w:ascii="Times New Roman" w:hAnsi="Times New Roman" w:eastAsia="FangSong"/>
          <w:b w:val="0"/>
          <w:color w:val="000000"/>
          <w:sz w:val="26"/>
        </w:rPr>
        <w:t>注：以上为测算值，采用全投资现金流模型（《建设项目经济评价方法与参数》第三版）。测算假设：项目总投资 12,000.00 万元；建设期 1 年；运营期 10 年；达产年营业收入 8,000.00 万元；达产年总成本 6,200.00 万元；所得税率 25%；基准折现率 8.0%。</w:t>
      </w:r>
    </w:p>
    <w:p>
      <w:pPr>
        <w:spacing w:line="560" w:lineRule="exact" w:before="520" w:after="200"/>
      </w:pPr>
      <w:r>
        <w:rPr>
          <w:rFonts w:ascii="Times New Roman" w:hAnsi="Times New Roman" w:eastAsia="SimHei"/>
          <w:b/>
          <w:color w:val="000000"/>
          <w:sz w:val="32"/>
        </w:rPr>
        <w:t>结论意见</w:t>
      </w:r>
    </w:p>
    <w:p>
      <w:pPr>
        <w:spacing w:line="560" w:lineRule="exact" w:before="0" w:after="0"/>
        <w:ind w:firstLine="480"/>
      </w:pPr>
      <w:r>
        <w:rPr>
          <w:rFonts w:ascii="Times New Roman" w:hAnsi="Times New Roman" w:eastAsia="FangSong"/>
          <w:b w:val="0"/>
          <w:color w:val="000000"/>
          <w:sz w:val="32"/>
        </w:rPr>
        <w:t>综上所述，本项目符合国家产业政策导向，技术方案先进成熟，能够有效解决现有生产线能耗高、效率低的问题。市场前景广阔，财务评价指标良好，抗风险能力较强。项目建设是必要的、可行的，建议尽快批准实施。</w:t>
      </w:r>
    </w:p>
    <w:p>
      <w:pPr>
        <w:spacing w:line="560" w:lineRule="exact" w:before="280" w:after="120"/>
      </w:pPr>
      <w:r>
        <w:rPr>
          <w:rFonts w:ascii="Times New Roman" w:hAnsi="Times New Roman" w:eastAsia="KaiTi"/>
          <w:b w:val="0"/>
          <w:color w:val="000000"/>
          <w:sz w:val="32"/>
        </w:rPr>
        <w:t>前提条件</w:t>
      </w:r>
    </w:p>
    <w:p>
      <w:pPr>
        <w:spacing w:line="560" w:lineRule="exact" w:before="0" w:after="0"/>
        <w:ind w:firstLine="480"/>
      </w:pPr>
      <w:r>
        <w:rPr>
          <w:rFonts w:ascii="Times New Roman" w:hAnsi="Times New Roman" w:eastAsia="FangSong"/>
          <w:b w:val="0"/>
          <w:color w:val="000000"/>
          <w:sz w:val="32"/>
        </w:rPr>
        <w:t>1. 须落实银行贷款资金，确保建设资金足额到位</w:t>
      </w:r>
    </w:p>
    <w:p>
      <w:pPr>
        <w:spacing w:line="560" w:lineRule="exact" w:before="0" w:after="0"/>
        <w:ind w:firstLine="480"/>
      </w:pPr>
      <w:r>
        <w:rPr>
          <w:rFonts w:ascii="Times New Roman" w:hAnsi="Times New Roman" w:eastAsia="FangSong"/>
          <w:b w:val="0"/>
          <w:color w:val="000000"/>
          <w:sz w:val="32"/>
        </w:rPr>
        <w:t>2. 须完成环境影响评价报告表的编制与审批</w:t>
      </w:r>
    </w:p>
    <w:p>
      <w:pPr>
        <w:spacing w:line="560" w:lineRule="exact" w:before="0" w:after="0"/>
        <w:ind w:firstLine="480"/>
      </w:pPr>
      <w:r>
        <w:rPr>
          <w:rFonts w:ascii="Times New Roman" w:hAnsi="Times New Roman" w:eastAsia="FangSong"/>
          <w:b w:val="0"/>
          <w:color w:val="000000"/>
          <w:sz w:val="32"/>
        </w:rPr>
        <w:t>3. 须加强与下游客户的沟通，确保技改期间订单平稳过渡</w:t>
      </w:r>
    </w:p>
    <w:p>
      <w:pPr>
        <w:spacing w:line="560" w:lineRule="exact" w:before="520" w:after="200"/>
      </w:pPr>
      <w:r>
        <w:rPr>
          <w:rFonts w:ascii="Times New Roman" w:hAnsi="Times New Roman" w:eastAsia="SimHei"/>
          <w:b/>
          <w:color w:val="000000"/>
          <w:sz w:val="32"/>
        </w:rPr>
        <w:t>建议</w:t>
      </w:r>
    </w:p>
    <w:p>
      <w:pPr>
        <w:spacing w:line="560" w:lineRule="exact" w:before="0" w:after="0"/>
        <w:ind w:firstLine="480"/>
      </w:pPr>
      <w:r>
        <w:rPr>
          <w:rFonts w:ascii="Times New Roman" w:hAnsi="Times New Roman" w:eastAsia="FangSong"/>
          <w:b w:val="0"/>
          <w:color w:val="000000"/>
          <w:sz w:val="32"/>
        </w:rPr>
        <w:t>1. 建议1：加快设备招标与技术协议签订，特别是AI控制系统的定制化开发需提前介入，责任主体：采购部/技术部，时间节点：开工前2个月完成。</w:t>
      </w:r>
    </w:p>
    <w:p>
      <w:pPr>
        <w:spacing w:line="560" w:lineRule="exact" w:before="0" w:after="0"/>
        <w:ind w:firstLine="480"/>
      </w:pPr>
      <w:r>
        <w:rPr>
          <w:rFonts w:ascii="Times New Roman" w:hAnsi="Times New Roman" w:eastAsia="FangSong"/>
          <w:b w:val="0"/>
          <w:color w:val="000000"/>
          <w:sz w:val="32"/>
        </w:rPr>
        <w:t>2. 建议2：建立技改期间生产应急预案，合理安排停产检修窗口，最大限度减少对当期产量的影响，责任主体：生产部，时间节点：施工全程。</w:t>
      </w:r>
    </w:p>
    <w:p>
      <w:pPr>
        <w:spacing w:line="560" w:lineRule="exact" w:before="0" w:after="0"/>
        <w:ind w:firstLine="480"/>
      </w:pPr>
      <w:r>
        <w:rPr>
          <w:rFonts w:ascii="Times New Roman" w:hAnsi="Times New Roman" w:eastAsia="FangSong"/>
          <w:b w:val="0"/>
          <w:color w:val="000000"/>
          <w:sz w:val="32"/>
        </w:rPr>
        <w:t>3. 建议3：加强人才引进与培养，提前招聘并培训AI运维团队，确保系统上线后能独立运维，责任主体：人力资源部，时间节点：试运行前3个月完成。</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pPr>
    <w:rPr>
      <w:rFonts w:ascii="Times New Roman" w:hAnsi="Times New Roman"/>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