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560" w:lineRule="exact" w:before="1600" w:after="0"/>
      </w:pPr>
    </w:p>
    <w:p>
      <w:pPr>
        <w:spacing w:line="560" w:lineRule="exact" w:before="0" w:after="800"/>
        <w:jc w:val="center"/>
      </w:pPr>
      <w:r>
        <w:rPr>
          <w:rFonts w:ascii="Times New Roman" w:hAnsi="Times New Roman" w:eastAsia="SimHei"/>
          <w:b/>
          <w:color w:val="000000"/>
          <w:sz w:val="44"/>
        </w:rPr>
        <w:t>年产3万吨磷酸铁锂正极材料生产线建设项目可行性研究报告</w:t>
      </w:r>
    </w:p>
    <w:p>
      <w:pPr>
        <w:spacing w:line="560" w:lineRule="exact" w:before="0" w:after="80"/>
      </w:pPr>
      <w:r>
        <w:rPr>
          <w:rFonts w:ascii="Times New Roman" w:hAnsi="Times New Roman" w:eastAsia="FangSong"/>
          <w:b w:val="0"/>
          <w:color w:val="000000"/>
          <w:sz w:val="32"/>
        </w:rPr>
        <w:t>项目名称：年产3万吨磷酸铁锂正极材料生产线建设项目</w:t>
      </w:r>
    </w:p>
    <w:p>
      <w:pPr>
        <w:spacing w:line="560" w:lineRule="exact" w:before="0" w:after="80"/>
      </w:pPr>
      <w:r>
        <w:rPr>
          <w:rFonts w:ascii="Times New Roman" w:hAnsi="Times New Roman" w:eastAsia="FangSong"/>
          <w:b w:val="0"/>
          <w:color w:val="000000"/>
          <w:sz w:val="32"/>
        </w:rPr>
        <w:t>项目选址：浙江省杭州市余杭区{{具体工业园区名称}}</w:t>
      </w:r>
    </w:p>
    <w:p>
      <w:pPr>
        <w:spacing w:line="560" w:lineRule="exact" w:before="0" w:after="80"/>
      </w:pPr>
      <w:r>
        <w:rPr>
          <w:rFonts w:ascii="Times New Roman" w:hAnsi="Times New Roman" w:eastAsia="FangSong"/>
          <w:b w:val="0"/>
          <w:color w:val="000000"/>
          <w:sz w:val="32"/>
        </w:rPr>
        <w:t>投资主体：{{项目投资主体全称}}</w:t>
      </w:r>
    </w:p>
    <w:p>
      <w:pPr>
        <w:spacing w:line="560" w:lineRule="exact" w:before="0" w:after="80"/>
      </w:pPr>
      <w:r>
        <w:rPr>
          <w:rFonts w:ascii="Times New Roman" w:hAnsi="Times New Roman" w:eastAsia="FangSong"/>
          <w:b w:val="0"/>
          <w:color w:val="000000"/>
          <w:sz w:val="32"/>
        </w:rPr>
        <w:t>所属行业：C3985 电子专用材料制造</w:t>
      </w:r>
    </w:p>
    <w:p>
      <w:pPr>
        <w:spacing w:line="560" w:lineRule="exact" w:before="0" w:after="80"/>
      </w:pPr>
      <w:r>
        <w:rPr>
          <w:rFonts w:ascii="Times New Roman" w:hAnsi="Times New Roman" w:eastAsia="FangSong"/>
          <w:b w:val="0"/>
          <w:color w:val="000000"/>
          <w:sz w:val="32"/>
        </w:rPr>
        <w:t>项目总投资（万元）：50000.00</w:t>
      </w:r>
    </w:p>
    <w:p>
      <w:pPr>
        <w:spacing w:line="560" w:lineRule="exact" w:before="0" w:after="80"/>
      </w:pPr>
      <w:r>
        <w:rPr>
          <w:rFonts w:ascii="Times New Roman" w:hAnsi="Times New Roman" w:eastAsia="FangSong"/>
          <w:b w:val="0"/>
          <w:color w:val="000000"/>
          <w:sz w:val="32"/>
        </w:rPr>
        <w:t>建设工期：18个月</w:t>
      </w:r>
    </w:p>
    <w:p>
      <w:pPr>
        <w:spacing w:line="560" w:lineRule="exact" w:before="0" w:after="80"/>
      </w:pPr>
      <w:r>
        <w:rPr>
          <w:rFonts w:ascii="Times New Roman" w:hAnsi="Times New Roman" w:eastAsia="FangSong"/>
          <w:b w:val="0"/>
          <w:color w:val="000000"/>
          <w:sz w:val="32"/>
        </w:rPr>
        <w:t>项目类型：新建</w:t>
      </w:r>
    </w:p>
    <w:p>
      <w:r>
        <w:br w:type="page"/>
      </w:r>
    </w:p>
    <w:p>
      <w:pPr>
        <w:spacing w:line="560" w:lineRule="exact" w:before="520" w:after="200"/>
      </w:pPr>
      <w:r>
        <w:rPr>
          <w:rFonts w:ascii="Times New Roman" w:hAnsi="Times New Roman" w:eastAsia="SimHei"/>
          <w:b/>
          <w:color w:val="000000"/>
          <w:sz w:val="32"/>
        </w:rPr>
        <w:t>第一章 项目概述</w:t>
      </w:r>
    </w:p>
    <w:p>
      <w:pPr>
        <w:spacing w:line="560" w:lineRule="exact" w:before="0" w:after="0"/>
        <w:ind w:firstLine="480"/>
      </w:pPr>
      <w:r>
        <w:rPr>
          <w:rFonts w:ascii="Times New Roman" w:hAnsi="Times New Roman" w:eastAsia="FangSong"/>
          <w:b w:val="0"/>
          <w:color w:val="000000"/>
          <w:sz w:val="32"/>
        </w:rPr>
        <w:t>第一节 项目背景</w:t>
      </w:r>
    </w:p>
    <w:p>
      <w:pPr>
        <w:spacing w:line="560" w:lineRule="exact" w:before="0" w:after="0"/>
        <w:ind w:firstLine="480"/>
      </w:pPr>
      <w:r>
        <w:rPr>
          <w:rFonts w:ascii="Times New Roman" w:hAnsi="Times New Roman" w:eastAsia="FangSong"/>
          <w:b w:val="0"/>
          <w:color w:val="000000"/>
          <w:sz w:val="32"/>
        </w:rPr>
        <w:t>随着全球能源结构转型及“双碳”目标的推进，新能源汽车产业呈现爆发式增长态势。磷酸铁锂（LFP）电池凭借其高安全性、长循环寿命及成本优势，在动力电池及储能电池领域的市场份额持续回升。根据《新能源汽车产业发展规划（2021—2035年）》及《“十四五”原材料工业发展规划》，国家明确支持高性能锂电池关键材料的研发与产业化，旨在提升产业链供应链自主可控能力。</w:t>
      </w:r>
    </w:p>
    <w:p>
      <w:pPr>
        <w:spacing w:line="560" w:lineRule="exact" w:before="0" w:after="0"/>
        <w:ind w:firstLine="480"/>
      </w:pPr>
      <w:r>
        <w:rPr>
          <w:rFonts w:ascii="Times New Roman" w:hAnsi="Times New Roman" w:eastAsia="FangSong"/>
          <w:b w:val="0"/>
          <w:color w:val="000000"/>
          <w:sz w:val="32"/>
        </w:rPr>
        <w:t>在此背景下，{{项目投资主体全称}}拟在浙江省杭州市余杭区投资建设“年产3万吨磷酸铁锂正极材料生产线建设项目”。本项目旨在通过引入先进的固相合成工艺，建设高效、绿色、智能化的正极材料生产基地，以满足下游头部电池厂商对高品质LFP材料的迫切需求，同时完善区域新能源产业链布局，具有显著的经济效益和社会效益。</w:t>
      </w:r>
    </w:p>
    <w:p>
      <w:pPr>
        <w:spacing w:line="560" w:lineRule="exact" w:before="0" w:after="0"/>
        <w:ind w:firstLine="480"/>
      </w:pPr>
      <w:r>
        <w:rPr>
          <w:rFonts w:ascii="Times New Roman" w:hAnsi="Times New Roman" w:eastAsia="FangSong"/>
          <w:b w:val="0"/>
          <w:color w:val="000000"/>
          <w:sz w:val="32"/>
        </w:rPr>
        <w:t>第二节 编制依据</w:t>
      </w:r>
    </w:p>
    <w:p>
      <w:pPr>
        <w:spacing w:line="560" w:lineRule="exact" w:before="0" w:after="0"/>
        <w:ind w:firstLine="480"/>
      </w:pPr>
      <w:r>
        <w:rPr>
          <w:rFonts w:ascii="Times New Roman" w:hAnsi="Times New Roman" w:eastAsia="FangSong"/>
          <w:b w:val="0"/>
          <w:color w:val="000000"/>
          <w:sz w:val="32"/>
        </w:rPr>
        <w:t>1. 《政府投资项目可行性研究报告编写通用大纲》（发改投资规〔2023〕304号）；</w:t>
        <w:br/>
        <w:t>2. 《建设项目经济评价方法与参数》（第四版）；</w:t>
        <w:br/>
        <w:t>3. 《产业结构调整指导目录（2024年本）》；</w:t>
        <w:br/>
        <w:t>4. 《浙江省制造业高质量发展“十四五”规划》；</w:t>
        <w:br/>
        <w:t>5. 项目承办单位提供的基础资料及技术参数；</w:t>
        <w:br/>
        <w:t>6. 国家及地方有关环保、安全、节能的法律法规及标准规范。</w:t>
      </w:r>
    </w:p>
    <w:p>
      <w:pPr>
        <w:spacing w:line="560" w:lineRule="exact" w:before="0" w:after="0"/>
        <w:ind w:firstLine="480"/>
      </w:pPr>
      <w:r>
        <w:rPr>
          <w:rFonts w:ascii="Times New Roman" w:hAnsi="Times New Roman" w:eastAsia="FangSong"/>
          <w:b w:val="0"/>
          <w:color w:val="000000"/>
          <w:sz w:val="32"/>
        </w:rPr>
        <w:t>第三节 研究范围</w:t>
      </w:r>
    </w:p>
    <w:p>
      <w:pPr>
        <w:spacing w:line="560" w:lineRule="exact" w:before="0" w:after="0"/>
        <w:ind w:firstLine="480"/>
      </w:pPr>
      <w:r>
        <w:rPr>
          <w:rFonts w:ascii="Times New Roman" w:hAnsi="Times New Roman" w:eastAsia="FangSong"/>
          <w:b w:val="0"/>
          <w:color w:val="000000"/>
          <w:sz w:val="32"/>
        </w:rPr>
        <w:t>本报告重点对项目的市场供需、建设规模、技术方案、厂址条件、环境影响、投资估算及财务可行性进行全面论证。研究范围涵盖从原材料采购、生产加工到成品销售的全过程，并对项目可能面临的风险进行识别与评估，为项目决策提供科学依据。</w:t>
      </w:r>
    </w:p>
    <w:p>
      <w:pPr>
        <w:spacing w:line="560" w:lineRule="exact" w:before="520" w:after="200"/>
      </w:pPr>
      <w:r>
        <w:rPr>
          <w:rFonts w:ascii="Times New Roman" w:hAnsi="Times New Roman" w:eastAsia="SimHei"/>
          <w:b/>
          <w:color w:val="000000"/>
          <w:sz w:val="32"/>
        </w:rPr>
        <w:t>第二章 市场分析与需求预测</w:t>
      </w:r>
    </w:p>
    <w:p>
      <w:pPr>
        <w:spacing w:line="560" w:lineRule="exact" w:before="0" w:after="0"/>
        <w:ind w:firstLine="480"/>
      </w:pPr>
      <w:r>
        <w:rPr>
          <w:rFonts w:ascii="Times New Roman" w:hAnsi="Times New Roman" w:eastAsia="FangSong"/>
          <w:b w:val="0"/>
          <w:color w:val="000000"/>
          <w:sz w:val="32"/>
        </w:rPr>
        <w:t>第一节 市场现状分析</w:t>
      </w:r>
    </w:p>
    <w:p>
      <w:pPr>
        <w:spacing w:line="560" w:lineRule="exact" w:before="0" w:after="0"/>
        <w:ind w:firstLine="480"/>
      </w:pPr>
      <w:r>
        <w:rPr>
          <w:rFonts w:ascii="Times New Roman" w:hAnsi="Times New Roman" w:eastAsia="FangSong"/>
          <w:b w:val="0"/>
          <w:color w:val="000000"/>
          <w:sz w:val="32"/>
        </w:rPr>
        <w:t>近年来，全球锂离子电池市场规模迅速扩大。据行业数据显示，2023年全球磷酸铁锂正极材料出货量已超过{{全球LFP出货量}}万吨，同比增长约30%。在中国市场，得益于比亚迪刀片电池及宁德时代神行电池的规模化应用，磷酸铁锂电池装机量占比已突破60%，重新确立了对三元电池的市场优势。特别是在储能领域，磷酸铁锂电池因其安全性和经济性成为绝对主流选择。</w:t>
      </w:r>
    </w:p>
    <w:p>
      <w:pPr>
        <w:spacing w:line="560" w:lineRule="exact" w:before="0" w:after="0"/>
        <w:ind w:firstLine="480"/>
      </w:pPr>
      <w:r>
        <w:rPr>
          <w:rFonts w:ascii="Times New Roman" w:hAnsi="Times New Roman" w:eastAsia="FangSong"/>
          <w:b w:val="0"/>
          <w:color w:val="000000"/>
          <w:sz w:val="32"/>
        </w:rPr>
        <w:t>第二节 市场需求预测</w:t>
      </w:r>
    </w:p>
    <w:p>
      <w:pPr>
        <w:spacing w:line="560" w:lineRule="exact" w:before="0" w:after="0"/>
        <w:ind w:firstLine="480"/>
      </w:pPr>
      <w:r>
        <w:rPr>
          <w:rFonts w:ascii="Times New Roman" w:hAnsi="Times New Roman" w:eastAsia="FangSong"/>
          <w:b w:val="0"/>
          <w:color w:val="000000"/>
          <w:sz w:val="32"/>
        </w:rPr>
        <w:t>预计未来五年，随着新能源汽车渗透率进一步提升及大型储能电站建设的加速，磷酸铁锂材料需求将保持年均20%以上的复合增长率。到2025年，国内磷酸铁锂正极材料需求量预计将达到{{2025年国内需求量}}万吨。本项目达产年产能3万吨，仅占预计市场增量的较小份额，市场消纳空间充足。</w:t>
      </w:r>
    </w:p>
    <w:p>
      <w:pPr>
        <w:spacing w:line="560" w:lineRule="exact" w:before="0" w:after="0"/>
        <w:ind w:firstLine="480"/>
      </w:pPr>
      <w:r>
        <w:rPr>
          <w:rFonts w:ascii="Times New Roman" w:hAnsi="Times New Roman" w:eastAsia="FangSong"/>
          <w:b w:val="0"/>
          <w:color w:val="000000"/>
          <w:sz w:val="32"/>
        </w:rPr>
        <w:t>第三节 竞争格局与价格预测</w:t>
      </w:r>
    </w:p>
    <w:p>
      <w:pPr>
        <w:spacing w:line="560" w:lineRule="exact" w:before="0" w:after="0"/>
        <w:ind w:firstLine="480"/>
      </w:pPr>
      <w:r>
        <w:rPr>
          <w:rFonts w:ascii="Times New Roman" w:hAnsi="Times New Roman" w:eastAsia="FangSong"/>
          <w:b w:val="0"/>
          <w:color w:val="000000"/>
          <w:sz w:val="32"/>
        </w:rPr>
        <w:t>当前磷酸铁锂行业呈现头部集中趋势，湖南裕能、德方纳米等龙头企业占据主要市场份额。然而，随着下游电池厂对供应链安全及定制化服务的重视，具备技术差异化（如高压实密度、低温性能优化）及区域配套优势的二线厂商仍拥有广阔生存空间。</w:t>
      </w:r>
    </w:p>
    <w:p>
      <w:pPr>
        <w:spacing w:line="560" w:lineRule="exact" w:before="0" w:after="0"/>
        <w:ind w:firstLine="480"/>
      </w:pPr>
      <w:r>
        <w:rPr>
          <w:rFonts w:ascii="Times New Roman" w:hAnsi="Times New Roman" w:eastAsia="FangSong"/>
          <w:b w:val="0"/>
          <w:color w:val="000000"/>
          <w:sz w:val="32"/>
        </w:rPr>
        <w:t>价格方面，受碳酸锂原料价格波动影响，LFP材料价格经历大幅调整后趋于理性。预计未来长期均衡价格将维持在{{预测单价}}万元/吨左右（含税）。本项目将通过工艺优化降低加工成本，确保在行业平均价格水平下仍具备较强的盈利能力和市场竞争力。</w:t>
      </w:r>
    </w:p>
    <w:p>
      <w:pPr>
        <w:spacing w:line="560" w:lineRule="exact" w:before="0" w:after="0"/>
        <w:ind w:firstLine="480"/>
      </w:pPr>
      <w:r>
        <w:rPr>
          <w:rFonts w:ascii="Times New Roman" w:hAnsi="Times New Roman" w:eastAsia="FangSong"/>
          <w:b w:val="0"/>
          <w:color w:val="000000"/>
          <w:sz w:val="32"/>
        </w:rPr>
        <w:t>第四节 目标客户</w:t>
      </w:r>
    </w:p>
    <w:p>
      <w:pPr>
        <w:spacing w:line="560" w:lineRule="exact" w:before="0" w:after="0"/>
        <w:ind w:firstLine="480"/>
      </w:pPr>
      <w:r>
        <w:rPr>
          <w:rFonts w:ascii="Times New Roman" w:hAnsi="Times New Roman" w:eastAsia="FangSong"/>
          <w:b w:val="0"/>
          <w:color w:val="000000"/>
          <w:sz w:val="32"/>
        </w:rPr>
        <w:t>本项目主要目标客户锁定为长三角地区的新能源动力电池制造企业及储能系统集成商，包括但不限于{{潜在客户A}}、{{潜在客户B}}等。通过建立就近配套供应体系，降低物流成本，提升响应速度，确立稳定的合作关系。</w:t>
      </w:r>
    </w:p>
    <w:p>
      <w:pPr>
        <w:spacing w:line="560" w:lineRule="exact" w:before="520" w:after="200"/>
      </w:pPr>
      <w:r>
        <w:rPr>
          <w:rFonts w:ascii="Times New Roman" w:hAnsi="Times New Roman" w:eastAsia="SimHei"/>
          <w:b/>
          <w:color w:val="000000"/>
          <w:sz w:val="32"/>
        </w:rPr>
        <w:t>第三章 建设规模与产品方案</w:t>
      </w:r>
    </w:p>
    <w:p>
      <w:pPr>
        <w:spacing w:line="560" w:lineRule="exact" w:before="0" w:after="0"/>
        <w:ind w:firstLine="480"/>
      </w:pPr>
      <w:r>
        <w:rPr>
          <w:rFonts w:ascii="Times New Roman" w:hAnsi="Times New Roman" w:eastAsia="FangSong"/>
          <w:b w:val="0"/>
          <w:color w:val="000000"/>
          <w:sz w:val="32"/>
        </w:rPr>
        <w:t>第一节 建设规模论证</w:t>
      </w:r>
    </w:p>
    <w:p>
      <w:pPr>
        <w:spacing w:line="560" w:lineRule="exact" w:before="0" w:after="0"/>
        <w:ind w:firstLine="480"/>
      </w:pPr>
      <w:r>
        <w:rPr>
          <w:rFonts w:ascii="Times New Roman" w:hAnsi="Times New Roman" w:eastAsia="FangSong"/>
          <w:b w:val="0"/>
          <w:color w:val="000000"/>
          <w:sz w:val="32"/>
        </w:rPr>
        <w:t>综合考虑市场需求、资金实力及技术成熟度，本项目确定建设规模为年产3万吨磷酸铁锂正极材料。该规模属于中等偏上水平，既有利于实现规模效应，降低单位固定成本，又便于分期实施与管理，符合当前行业发展趋势及企业战略规划。</w:t>
      </w:r>
    </w:p>
    <w:p>
      <w:pPr>
        <w:spacing w:line="560" w:lineRule="exact" w:before="0" w:after="0"/>
        <w:ind w:firstLine="480"/>
      </w:pPr>
      <w:r>
        <w:rPr>
          <w:rFonts w:ascii="Times New Roman" w:hAnsi="Times New Roman" w:eastAsia="FangSong"/>
          <w:b w:val="0"/>
          <w:color w:val="000000"/>
          <w:sz w:val="32"/>
        </w:rPr>
        <w:t>第二节 产品方案</w:t>
      </w:r>
    </w:p>
    <w:p>
      <w:pPr>
        <w:spacing w:line="560" w:lineRule="exact" w:before="0" w:after="0"/>
        <w:ind w:firstLine="480"/>
      </w:pPr>
      <w:r>
        <w:rPr>
          <w:rFonts w:ascii="Times New Roman" w:hAnsi="Times New Roman" w:eastAsia="FangSong"/>
          <w:b w:val="0"/>
          <w:color w:val="000000"/>
          <w:sz w:val="32"/>
        </w:rPr>
        <w:t>本项目主要产品为动力型磷酸铁锂正极材料，兼顾储能型产品。具体产品方案如下：</w:t>
        <w:br/>
        <w:t>1. 动力型磷酸铁锂（LFP-P）：2.4万吨/年，主打高倍率、长循环性能，应用于纯电动及插电混动汽车；</w:t>
        <w:br/>
        <w:t>2. 储能型磷酸铁锂（LFP-E）：0.6万吨/年，主打高性价比、高安全性，应用于电网侧及用户侧储能。</w:t>
      </w:r>
    </w:p>
    <w:p>
      <w:pPr>
        <w:spacing w:line="560" w:lineRule="exact" w:before="0" w:after="0"/>
        <w:ind w:firstLine="480"/>
      </w:pPr>
      <w:r>
        <w:rPr>
          <w:rFonts w:ascii="Times New Roman" w:hAnsi="Times New Roman" w:eastAsia="FangSong"/>
          <w:b w:val="0"/>
          <w:color w:val="000000"/>
          <w:sz w:val="32"/>
        </w:rPr>
        <w:t>第三节 产品质量标准</w:t>
      </w:r>
    </w:p>
    <w:p>
      <w:pPr>
        <w:spacing w:line="560" w:lineRule="exact" w:before="0" w:after="0"/>
        <w:ind w:firstLine="480"/>
      </w:pPr>
      <w:r>
        <w:rPr>
          <w:rFonts w:ascii="Times New Roman" w:hAnsi="Times New Roman" w:eastAsia="FangSong"/>
          <w:b w:val="0"/>
          <w:color w:val="000000"/>
          <w:sz w:val="32"/>
        </w:rPr>
        <w:t>产品执行国家标准《GB/T 39821-2021 锂离子电池用磷酸铁锂》及客户定制化技术指标。主要控制指标包括：比容量（≥155 mAh/g @0.1C）、压实密度（≥2.4 g/cm³）、水分含量（≤1000 ppm）、磁性异物含量（≤50 ppb）等。项目将建立严格的质量管理体系，确保产品一致性及稳定性达到行业领先水平。</w:t>
      </w:r>
    </w:p>
    <w:p>
      <w:pPr>
        <w:spacing w:line="560" w:lineRule="exact" w:before="520" w:after="200"/>
      </w:pPr>
      <w:r>
        <w:rPr>
          <w:rFonts w:ascii="Times New Roman" w:hAnsi="Times New Roman" w:eastAsia="SimHei"/>
          <w:b/>
          <w:color w:val="000000"/>
          <w:sz w:val="32"/>
        </w:rPr>
        <w:t>第四章 场（厂）址选择</w:t>
      </w:r>
    </w:p>
    <w:p>
      <w:pPr>
        <w:spacing w:line="560" w:lineRule="exact" w:before="0" w:after="0"/>
        <w:ind w:firstLine="480"/>
      </w:pPr>
      <w:r>
        <w:rPr>
          <w:rFonts w:ascii="Times New Roman" w:hAnsi="Times New Roman" w:eastAsia="FangSong"/>
          <w:b w:val="0"/>
          <w:color w:val="000000"/>
          <w:sz w:val="32"/>
        </w:rPr>
        <w:t>第一节 场址现状</w:t>
      </w:r>
    </w:p>
    <w:p>
      <w:pPr>
        <w:spacing w:line="560" w:lineRule="exact" w:before="0" w:after="0"/>
        <w:ind w:firstLine="480"/>
      </w:pPr>
      <w:r>
        <w:rPr>
          <w:rFonts w:ascii="Times New Roman" w:hAnsi="Times New Roman" w:eastAsia="FangSong"/>
          <w:b w:val="0"/>
          <w:color w:val="000000"/>
          <w:sz w:val="32"/>
        </w:rPr>
        <w:t>本项目选址于浙江省杭州市余杭区{{具体工业园区名称}}。该园区为省级高新技术产业园区，基础设施配套完善，产业集聚效应明显。项目用地性质为工业用地，占地面积约{{占地面积}}亩，地块平整，地质条件良好，无不良地质灾害记录。</w:t>
      </w:r>
    </w:p>
    <w:p>
      <w:pPr>
        <w:spacing w:line="560" w:lineRule="exact" w:before="0" w:after="0"/>
        <w:ind w:firstLine="480"/>
      </w:pPr>
      <w:r>
        <w:rPr>
          <w:rFonts w:ascii="Times New Roman" w:hAnsi="Times New Roman" w:eastAsia="FangSong"/>
          <w:b w:val="0"/>
          <w:color w:val="000000"/>
          <w:sz w:val="32"/>
        </w:rPr>
        <w:t>第二节 建设条件分析</w:t>
      </w:r>
    </w:p>
    <w:p>
      <w:pPr>
        <w:spacing w:line="560" w:lineRule="exact" w:before="0" w:after="0"/>
        <w:ind w:firstLine="480"/>
      </w:pPr>
      <w:r>
        <w:rPr>
          <w:rFonts w:ascii="Times New Roman" w:hAnsi="Times New Roman" w:eastAsia="FangSong"/>
          <w:b w:val="0"/>
          <w:color w:val="000000"/>
          <w:sz w:val="32"/>
        </w:rPr>
        <w:t>1. 交通条件：余杭区地处长三角核心区域，交通便利。厂区距离高速公路入口约{{距离}}公里，距离杭州萧山国际机场及宁波舟山港均在合理运输半径内，有利于原材料输入及产品输出。</w:t>
        <w:br/>
        <w:t>2. 公用工程：园区供水、供电、供气及污水处理管网均已铺设到位。供电由{{变电站名称}}双回路供电，可靠性高；供水水源充足，水质符合生产要求；天然气供应稳定，满足烘干及烧结工序需求。</w:t>
        <w:br/>
        <w:t>3. 环境条件：项目所在地环境空气质量良好，周边无重大污染源，符合电子元器件及新材料生产对环境洁净度的要求。</w:t>
      </w:r>
    </w:p>
    <w:p>
      <w:pPr>
        <w:spacing w:line="560" w:lineRule="exact" w:before="0" w:after="0"/>
        <w:ind w:firstLine="480"/>
      </w:pPr>
      <w:r>
        <w:rPr>
          <w:rFonts w:ascii="Times New Roman" w:hAnsi="Times New Roman" w:eastAsia="FangSong"/>
          <w:b w:val="0"/>
          <w:color w:val="000000"/>
          <w:sz w:val="32"/>
        </w:rPr>
        <w:t>第三节 场址方案比选</w:t>
      </w:r>
    </w:p>
    <w:p>
      <w:pPr>
        <w:spacing w:line="560" w:lineRule="exact" w:before="0" w:after="0"/>
        <w:ind w:firstLine="480"/>
      </w:pPr>
      <w:r>
        <w:rPr>
          <w:rFonts w:ascii="Times New Roman" w:hAnsi="Times New Roman" w:eastAsia="FangSong"/>
          <w:b w:val="0"/>
          <w:color w:val="000000"/>
          <w:sz w:val="32"/>
        </w:rPr>
        <w:t>经对余杭区内多个备选地块进行综合比选，现选地块在土地成本、政策优惠、产业链配套及物流便捷性方面均具有明显优势，且符合杭州市国土空间规划及产业布局要求，故确定为最终场址。</w:t>
      </w:r>
    </w:p>
    <w:p>
      <w:pPr>
        <w:spacing w:line="560" w:lineRule="exact" w:before="520" w:after="200"/>
      </w:pPr>
      <w:r>
        <w:rPr>
          <w:rFonts w:ascii="Times New Roman" w:hAnsi="Times New Roman" w:eastAsia="SimHei"/>
          <w:b/>
          <w:color w:val="000000"/>
          <w:sz w:val="32"/>
        </w:rPr>
        <w:t>第五章 技术方案、设备方案和工程方案</w:t>
      </w:r>
    </w:p>
    <w:p>
      <w:pPr>
        <w:spacing w:line="560" w:lineRule="exact" w:before="0" w:after="0"/>
        <w:ind w:firstLine="480"/>
      </w:pPr>
      <w:r>
        <w:rPr>
          <w:rFonts w:ascii="Times New Roman" w:hAnsi="Times New Roman" w:eastAsia="FangSong"/>
          <w:b w:val="0"/>
          <w:color w:val="000000"/>
          <w:sz w:val="32"/>
        </w:rPr>
        <w:t>第一节 技术方案</w:t>
      </w:r>
    </w:p>
    <w:p>
      <w:pPr>
        <w:spacing w:line="560" w:lineRule="exact" w:before="0" w:after="0"/>
        <w:ind w:firstLine="480"/>
      </w:pPr>
      <w:r>
        <w:rPr>
          <w:rFonts w:ascii="Times New Roman" w:hAnsi="Times New Roman" w:eastAsia="FangSong"/>
          <w:b w:val="0"/>
          <w:color w:val="000000"/>
          <w:sz w:val="32"/>
        </w:rPr>
        <w:t>本项目采用成熟的“液相混合+高温固相合成”工艺路线。该工艺具有原料混合均匀、反应活性高、产品一致性好等优点。主要工艺流程包括：配料混合、喷雾干燥、前驱体煅烧、粉碎分级、包覆改性、除磁筛分、包装入库。</w:t>
      </w:r>
    </w:p>
    <w:p>
      <w:pPr>
        <w:spacing w:line="560" w:lineRule="exact" w:before="0" w:after="0"/>
        <w:ind w:firstLine="480"/>
      </w:pPr>
      <w:r>
        <w:rPr>
          <w:rFonts w:ascii="Times New Roman" w:hAnsi="Times New Roman" w:eastAsia="FangSong"/>
          <w:b w:val="0"/>
          <w:color w:val="000000"/>
          <w:sz w:val="32"/>
        </w:rPr>
        <w:t>核心技术来源为{{技术提供方名称}}授权或自主研发，关键技术点包括：纳米级前驱体制备技术、碳源精准包覆技术及气氛保护烧结控制技术，确保产品电化学性能优异。</w:t>
      </w:r>
    </w:p>
    <w:p>
      <w:pPr>
        <w:spacing w:line="560" w:lineRule="exact" w:before="0" w:after="0"/>
        <w:ind w:firstLine="480"/>
      </w:pPr>
      <w:r>
        <w:rPr>
          <w:rFonts w:ascii="Times New Roman" w:hAnsi="Times New Roman" w:eastAsia="FangSong"/>
          <w:b w:val="0"/>
          <w:color w:val="000000"/>
          <w:sz w:val="32"/>
        </w:rPr>
        <w:t>第二节 主要设备方案</w:t>
      </w:r>
    </w:p>
    <w:p>
      <w:pPr>
        <w:spacing w:line="560" w:lineRule="exact" w:before="0" w:after="0"/>
        <w:ind w:firstLine="480"/>
      </w:pPr>
      <w:r>
        <w:rPr>
          <w:rFonts w:ascii="Times New Roman" w:hAnsi="Times New Roman" w:eastAsia="FangSong"/>
          <w:b w:val="0"/>
          <w:color w:val="000000"/>
          <w:sz w:val="32"/>
        </w:rPr>
        <w:t>为实现自动化、智能化生产，项目拟引进国内外先进生产设备。主要设备清单包括：</w:t>
        <w:br/>
        <w:t>1. 配料系统：高精度计量秤、高速混合机；</w:t>
        <w:br/>
        <w:t>2. 干燥系统：离心喷雾干燥塔；</w:t>
        <w:br/>
        <w:t>3. 烧结系统：推板窑或回转窑（配备气氛控制系统）；</w:t>
        <w:br/>
        <w:t>4. 粉碎系统：气流粉碎机、机械磨；</w:t>
        <w:br/>
        <w:t>5. 包覆系统：高速混合改性机；</w:t>
        <w:br/>
        <w:t>6. 辅助系统：全自动包装线、除磁机、DCS中央控制系统。</w:t>
      </w:r>
    </w:p>
    <w:p>
      <w:pPr>
        <w:spacing w:line="560" w:lineRule="exact" w:before="0" w:after="0"/>
        <w:ind w:firstLine="480"/>
      </w:pPr>
      <w:r>
        <w:rPr>
          <w:rFonts w:ascii="Times New Roman" w:hAnsi="Times New Roman" w:eastAsia="FangSong"/>
          <w:b w:val="0"/>
          <w:color w:val="000000"/>
          <w:sz w:val="32"/>
        </w:rPr>
        <w:t>设备选型遵循“先进、可靠、节能、环保”原则，关键工序设备国产化率不低于{{国产化率}}%，以降低投资成本并保障售后维护便利性。</w:t>
      </w:r>
    </w:p>
    <w:p>
      <w:pPr>
        <w:spacing w:line="560" w:lineRule="exact" w:before="0" w:after="0"/>
        <w:ind w:firstLine="480"/>
      </w:pPr>
      <w:r>
        <w:rPr>
          <w:rFonts w:ascii="Times New Roman" w:hAnsi="Times New Roman" w:eastAsia="FangSong"/>
          <w:b w:val="0"/>
          <w:color w:val="000000"/>
          <w:sz w:val="32"/>
        </w:rPr>
        <w:t>第三节 工程方案</w:t>
      </w:r>
    </w:p>
    <w:p>
      <w:pPr>
        <w:spacing w:line="560" w:lineRule="exact" w:before="0" w:after="0"/>
        <w:ind w:firstLine="480"/>
      </w:pPr>
      <w:r>
        <w:rPr>
          <w:rFonts w:ascii="Times New Roman" w:hAnsi="Times New Roman" w:eastAsia="FangSong"/>
          <w:b w:val="0"/>
          <w:color w:val="000000"/>
          <w:sz w:val="32"/>
        </w:rPr>
        <w:t>项目总建筑面积约{{建筑面积}}平方米。主要建构筑物包括：原料仓库、生产车间（含配料、烧结、粉碎车间）、成品仓库、研发中心、办公楼及辅助设施。建筑结构采用钢结构或钢筋混凝土框架结构，抗震设防烈度按7度设计。车间内部按照GMP标准进行洁净度控制，特别是包装车间设置千级洁净区。</w:t>
      </w:r>
    </w:p>
    <w:p>
      <w:pPr>
        <w:spacing w:line="560" w:lineRule="exact" w:before="520" w:after="200"/>
      </w:pPr>
      <w:r>
        <w:rPr>
          <w:rFonts w:ascii="Times New Roman" w:hAnsi="Times New Roman" w:eastAsia="SimHei"/>
          <w:b/>
          <w:color w:val="000000"/>
          <w:sz w:val="32"/>
        </w:rPr>
        <w:t>第六章 原材料及燃料动力供应</w:t>
      </w:r>
    </w:p>
    <w:p>
      <w:pPr>
        <w:spacing w:line="560" w:lineRule="exact" w:before="0" w:after="0"/>
        <w:ind w:firstLine="480"/>
      </w:pPr>
      <w:r>
        <w:rPr>
          <w:rFonts w:ascii="Times New Roman" w:hAnsi="Times New Roman" w:eastAsia="FangSong"/>
          <w:b w:val="0"/>
          <w:color w:val="000000"/>
          <w:sz w:val="32"/>
        </w:rPr>
        <w:t>第一节 主要原材料供应</w:t>
      </w:r>
    </w:p>
    <w:p>
      <w:pPr>
        <w:spacing w:line="560" w:lineRule="exact" w:before="0" w:after="0"/>
        <w:ind w:firstLine="480"/>
      </w:pPr>
      <w:r>
        <w:rPr>
          <w:rFonts w:ascii="Times New Roman" w:hAnsi="Times New Roman" w:eastAsia="FangSong"/>
          <w:b w:val="0"/>
          <w:color w:val="000000"/>
          <w:sz w:val="32"/>
        </w:rPr>
        <w:t>本项目主要原材料包括碳酸锂、磷酸铁、葡萄糖（碳源）等。其中，碳酸锂和磷酸铁占成本比重较大。</w:t>
        <w:br/>
        <w:t>1. 碳酸锂：计划与{{供应商A}}、{{供应商B}}签订长期供货协议，确保货源稳定。鉴于锂价波动较大，将建立战略储备机制。</w:t>
        <w:br/>
        <w:t>2. 磷酸铁：优先选择长三角地区优质供应商，如{{供应商C}}，以降低运输成本。</w:t>
        <w:br/>
        <w:t>3. 其他辅料：葡萄糖、分散剂等市场供应充足，可就近采购。</w:t>
      </w:r>
    </w:p>
    <w:p>
      <w:pPr>
        <w:spacing w:line="560" w:lineRule="exact" w:before="0" w:after="0"/>
        <w:ind w:firstLine="480"/>
      </w:pPr>
      <w:r>
        <w:rPr>
          <w:rFonts w:ascii="Times New Roman" w:hAnsi="Times New Roman" w:eastAsia="FangSong"/>
          <w:b w:val="0"/>
          <w:color w:val="000000"/>
          <w:sz w:val="32"/>
        </w:rPr>
        <w:t>第二节 燃料动力供应</w:t>
      </w:r>
    </w:p>
    <w:p>
      <w:pPr>
        <w:spacing w:line="560" w:lineRule="exact" w:before="0" w:after="0"/>
        <w:ind w:firstLine="480"/>
      </w:pPr>
      <w:r>
        <w:rPr>
          <w:rFonts w:ascii="Times New Roman" w:hAnsi="Times New Roman" w:eastAsia="FangSong"/>
          <w:b w:val="0"/>
          <w:color w:val="000000"/>
          <w:sz w:val="32"/>
        </w:rPr>
        <w:t>1. 电力：年用电量约{{年用电量}}万kWh，由当地电网供给，供电保证率高。</w:t>
        <w:br/>
        <w:t>2. 天然气：年用气量约{{年用气量}}万立方米，用于烧结工序加热，由市政天然气管网供应。</w:t>
        <w:br/>
        <w:t>3. 水：年用水量约{{年用水量}}万吨，主要用于冷却循环及设备清洗，由市政自来水管网供应。</w:t>
      </w:r>
    </w:p>
    <w:p>
      <w:pPr>
        <w:spacing w:line="560" w:lineRule="exact" w:before="0" w:after="0"/>
        <w:ind w:firstLine="480"/>
      </w:pPr>
      <w:r>
        <w:rPr>
          <w:rFonts w:ascii="Times New Roman" w:hAnsi="Times New Roman" w:eastAsia="FangSong"/>
          <w:b w:val="0"/>
          <w:color w:val="000000"/>
          <w:sz w:val="32"/>
        </w:rPr>
        <w:t>第三节 供应保障分析</w:t>
      </w:r>
    </w:p>
    <w:p>
      <w:pPr>
        <w:spacing w:line="560" w:lineRule="exact" w:before="0" w:after="0"/>
        <w:ind w:firstLine="480"/>
      </w:pPr>
      <w:r>
        <w:rPr>
          <w:rFonts w:ascii="Times New Roman" w:hAnsi="Times New Roman" w:eastAsia="FangSong"/>
          <w:b w:val="0"/>
          <w:color w:val="000000"/>
          <w:sz w:val="32"/>
        </w:rPr>
        <w:t>项目建立了多元化的供应链体系，关键原材料至少保持两家以上合格供应商。同时，依托数字化供应链管理平台，实时监控库存及物流状态，确保生产连续性。针对关键原料价格波动风险，将通过期货套保或价格联动机制进行对冲。</w:t>
      </w:r>
    </w:p>
    <w:p>
      <w:pPr>
        <w:spacing w:line="560" w:lineRule="exact" w:before="520" w:after="200"/>
      </w:pPr>
      <w:r>
        <w:rPr>
          <w:rFonts w:ascii="Times New Roman" w:hAnsi="Times New Roman" w:eastAsia="SimHei"/>
          <w:b/>
          <w:color w:val="000000"/>
          <w:sz w:val="32"/>
        </w:rPr>
        <w:t>第七章 节能、节水措施</w:t>
      </w:r>
    </w:p>
    <w:p>
      <w:pPr>
        <w:spacing w:line="560" w:lineRule="exact" w:before="0" w:after="0"/>
        <w:ind w:firstLine="480"/>
      </w:pPr>
      <w:r>
        <w:rPr>
          <w:rFonts w:ascii="Times New Roman" w:hAnsi="Times New Roman" w:eastAsia="FangSong"/>
          <w:b w:val="0"/>
          <w:color w:val="000000"/>
          <w:sz w:val="32"/>
        </w:rPr>
        <w:t>第一节 用能标准及能耗指标</w:t>
      </w:r>
    </w:p>
    <w:p>
      <w:pPr>
        <w:spacing w:line="560" w:lineRule="exact" w:before="0" w:after="0"/>
        <w:ind w:firstLine="480"/>
      </w:pPr>
      <w:r>
        <w:rPr>
          <w:rFonts w:ascii="Times New Roman" w:hAnsi="Times New Roman" w:eastAsia="FangSong"/>
          <w:b w:val="0"/>
          <w:color w:val="000000"/>
          <w:sz w:val="32"/>
        </w:rPr>
        <w:t>本项目严格执行《综合能耗计算通则》（GB/T 2589）及《锂离子电池单位产品能源消耗限额》等行业标准。经测算，项目达产年综合能耗约为{{综合能耗}}吨标准煤，单位产品能耗低于行业准入值，达到国内先进水平。</w:t>
      </w:r>
    </w:p>
    <w:p>
      <w:pPr>
        <w:spacing w:line="560" w:lineRule="exact" w:before="0" w:after="0"/>
        <w:ind w:firstLine="480"/>
      </w:pPr>
      <w:r>
        <w:rPr>
          <w:rFonts w:ascii="Times New Roman" w:hAnsi="Times New Roman" w:eastAsia="FangSong"/>
          <w:b w:val="0"/>
          <w:color w:val="000000"/>
          <w:sz w:val="32"/>
        </w:rPr>
        <w:t>第二节 节能措施</w:t>
      </w:r>
    </w:p>
    <w:p>
      <w:pPr>
        <w:spacing w:line="560" w:lineRule="exact" w:before="0" w:after="0"/>
        <w:ind w:firstLine="480"/>
      </w:pPr>
      <w:r>
        <w:rPr>
          <w:rFonts w:ascii="Times New Roman" w:hAnsi="Times New Roman" w:eastAsia="FangSong"/>
          <w:b w:val="0"/>
          <w:color w:val="000000"/>
          <w:sz w:val="32"/>
        </w:rPr>
        <w:t>1. 工艺节能：采用余热回收系统，将烧结窑炉排放的高温废气余热用于预热助燃空气或加热生活用水，提高热效率。</w:t>
        <w:br/>
        <w:t>2. 设备节能：选用一级能效电机、变压器及风机水泵；照明系统全部采用LED节能灯具，并实施分区智能控制。</w:t>
        <w:br/>
        <w:t>3. 管理节能：建立能源管理中心（EMS），对水、电、气实行实时监测与统计分析，及时发现并消除能源浪费现象。</w:t>
      </w:r>
    </w:p>
    <w:p>
      <w:pPr>
        <w:spacing w:line="560" w:lineRule="exact" w:before="0" w:after="0"/>
        <w:ind w:firstLine="480"/>
      </w:pPr>
      <w:r>
        <w:rPr>
          <w:rFonts w:ascii="Times New Roman" w:hAnsi="Times New Roman" w:eastAsia="FangSong"/>
          <w:b w:val="0"/>
          <w:color w:val="000000"/>
          <w:sz w:val="32"/>
        </w:rPr>
        <w:t>第三节 节水措施</w:t>
      </w:r>
    </w:p>
    <w:p>
      <w:pPr>
        <w:spacing w:line="560" w:lineRule="exact" w:before="0" w:after="0"/>
        <w:ind w:firstLine="480"/>
      </w:pPr>
      <w:r>
        <w:rPr>
          <w:rFonts w:ascii="Times New Roman" w:hAnsi="Times New Roman" w:eastAsia="FangSong"/>
          <w:b w:val="0"/>
          <w:color w:val="000000"/>
          <w:sz w:val="32"/>
        </w:rPr>
        <w:t>1. 循环用水：冷却水系统采用闭路循环，循环利用率达到95%以上。</w:t>
        <w:br/>
        <w:t>2. 中水回用：生产废水经处理后部分回用于绿化灌溉及道路洒水，减少新鲜水取用量。</w:t>
        <w:br/>
        <w:t>3. 器具节水：所有卫生洁具均采用节水型产品，杜绝跑冒滴漏。</w:t>
      </w:r>
    </w:p>
    <w:p>
      <w:pPr>
        <w:spacing w:line="560" w:lineRule="exact" w:before="520" w:after="200"/>
      </w:pPr>
      <w:r>
        <w:rPr>
          <w:rFonts w:ascii="Times New Roman" w:hAnsi="Times New Roman" w:eastAsia="SimHei"/>
          <w:b/>
          <w:color w:val="000000"/>
          <w:sz w:val="32"/>
        </w:rPr>
        <w:t>第八章 环境影响分析</w:t>
      </w:r>
    </w:p>
    <w:p>
      <w:pPr>
        <w:spacing w:line="560" w:lineRule="exact" w:before="0" w:after="0"/>
        <w:ind w:firstLine="480"/>
      </w:pPr>
      <w:r>
        <w:rPr>
          <w:rFonts w:ascii="Times New Roman" w:hAnsi="Times New Roman" w:eastAsia="FangSong"/>
          <w:b w:val="0"/>
          <w:color w:val="000000"/>
          <w:sz w:val="32"/>
        </w:rPr>
        <w:t>第一节 环境现状</w:t>
      </w:r>
    </w:p>
    <w:p>
      <w:pPr>
        <w:spacing w:line="560" w:lineRule="exact" w:before="0" w:after="0"/>
        <w:ind w:firstLine="480"/>
      </w:pPr>
      <w:r>
        <w:rPr>
          <w:rFonts w:ascii="Times New Roman" w:hAnsi="Times New Roman" w:eastAsia="FangSong"/>
          <w:b w:val="0"/>
          <w:color w:val="000000"/>
          <w:sz w:val="32"/>
        </w:rPr>
        <w:t>项目选址区域环境质量总体良好，空气、水体及声环境均符合国家相应质量标准。周边无自然保护区、风景名胜区等环境敏感目标。</w:t>
      </w:r>
    </w:p>
    <w:p>
      <w:pPr>
        <w:spacing w:line="560" w:lineRule="exact" w:before="0" w:after="0"/>
        <w:ind w:firstLine="480"/>
      </w:pPr>
      <w:r>
        <w:rPr>
          <w:rFonts w:ascii="Times New Roman" w:hAnsi="Times New Roman" w:eastAsia="FangSong"/>
          <w:b w:val="0"/>
          <w:color w:val="000000"/>
          <w:sz w:val="32"/>
        </w:rPr>
        <w:t>第二节 主要污染源及污染物</w:t>
      </w:r>
    </w:p>
    <w:p>
      <w:pPr>
        <w:spacing w:line="560" w:lineRule="exact" w:before="0" w:after="0"/>
        <w:ind w:firstLine="480"/>
      </w:pPr>
      <w:r>
        <w:rPr>
          <w:rFonts w:ascii="Times New Roman" w:hAnsi="Times New Roman" w:eastAsia="FangSong"/>
          <w:b w:val="0"/>
          <w:color w:val="000000"/>
          <w:sz w:val="32"/>
        </w:rPr>
        <w:t>1. 废气：主要来自喷雾干燥尾气、烧结废气及粉碎粉尘。主要污染物为颗粒物、非甲烷总烃、CO2等。</w:t>
        <w:br/>
        <w:t>2. 废水：主要为生活污水、设备清洗废水及冷却排污水。主要污染物为COD、SS、氨氮等。</w:t>
        <w:br/>
        <w:t>3. 固废：包括废包装袋、除尘灰、废包装材料及生活垃圾。</w:t>
        <w:br/>
        <w:t>4. 噪声：主要来自风机、磨机、泵类等机械设备运行噪声。</w:t>
      </w:r>
    </w:p>
    <w:p>
      <w:pPr>
        <w:spacing w:line="560" w:lineRule="exact" w:before="0" w:after="0"/>
        <w:ind w:firstLine="480"/>
      </w:pPr>
      <w:r>
        <w:rPr>
          <w:rFonts w:ascii="Times New Roman" w:hAnsi="Times New Roman" w:eastAsia="FangSong"/>
          <w:b w:val="0"/>
          <w:color w:val="000000"/>
          <w:sz w:val="32"/>
        </w:rPr>
        <w:t>第三节 环保措施</w:t>
      </w:r>
    </w:p>
    <w:p>
      <w:pPr>
        <w:spacing w:line="560" w:lineRule="exact" w:before="0" w:after="0"/>
        <w:ind w:firstLine="480"/>
      </w:pPr>
      <w:r>
        <w:rPr>
          <w:rFonts w:ascii="Times New Roman" w:hAnsi="Times New Roman" w:eastAsia="FangSong"/>
          <w:b w:val="0"/>
          <w:color w:val="000000"/>
          <w:sz w:val="32"/>
        </w:rPr>
        <w:t>1. 废气治理：喷雾干燥尾气经布袋除尘器处理后高空排放；烧结废气经二次燃烧+余热回收后排放；粉碎车间设置密闭负压收集系统，废气经滤芯除尘后排放。所有排放口均安装在线监测装置。</w:t>
        <w:br/>
        <w:t>2. 废水治理：生产废水经厂区污水处理站预处理（混凝沉淀+生化处理），达到纳管标准后排入市政污水管网，最终进入{{污水处理厂名称}}深度处理。</w:t>
        <w:br/>
        <w:t>3. 固废处置：一般工业固废外售综合利用；危险废物委托有资质单位处置；生活垃圾由环卫部门统一清运。</w:t>
        <w:br/>
        <w:t>4. 噪声控制：选用低噪设备，采取隔声、减振、消声等措施，厂界噪声达标排放。</w:t>
      </w:r>
    </w:p>
    <w:p>
      <w:pPr>
        <w:spacing w:line="560" w:lineRule="exact" w:before="0" w:after="0"/>
        <w:ind w:firstLine="480"/>
      </w:pPr>
      <w:r>
        <w:rPr>
          <w:rFonts w:ascii="Times New Roman" w:hAnsi="Times New Roman" w:eastAsia="FangSong"/>
          <w:b w:val="0"/>
          <w:color w:val="000000"/>
          <w:sz w:val="32"/>
        </w:rPr>
        <w:t>第四节 环境影响评价结论</w:t>
      </w:r>
    </w:p>
    <w:p>
      <w:pPr>
        <w:spacing w:line="560" w:lineRule="exact" w:before="0" w:after="0"/>
        <w:ind w:firstLine="480"/>
      </w:pPr>
      <w:r>
        <w:rPr>
          <w:rFonts w:ascii="Times New Roman" w:hAnsi="Times New Roman" w:eastAsia="FangSong"/>
          <w:b w:val="0"/>
          <w:color w:val="000000"/>
          <w:sz w:val="32"/>
        </w:rPr>
        <w:t>本项目严格执行“三同时”制度，各项环保措施技术可行、经济合理。经预测，项目实施后对周围环境影响较小，符合环境保护要求。根据《建设项目环境影响评价分类管理名录》，本项目需编制环境影响报告表/报告书，并报生态环境主管部门审批。</w:t>
      </w:r>
    </w:p>
    <w:p>
      <w:pPr>
        <w:spacing w:line="560" w:lineRule="exact" w:before="520" w:after="200"/>
      </w:pPr>
      <w:r>
        <w:rPr>
          <w:rFonts w:ascii="Times New Roman" w:hAnsi="Times New Roman" w:eastAsia="SimHei"/>
          <w:b/>
          <w:color w:val="000000"/>
          <w:sz w:val="32"/>
        </w:rPr>
        <w:t>第九章 劳动安全卫生与消防</w:t>
      </w:r>
    </w:p>
    <w:p>
      <w:pPr>
        <w:spacing w:line="560" w:lineRule="exact" w:before="0" w:after="0"/>
        <w:ind w:firstLine="480"/>
      </w:pPr>
      <w:r>
        <w:rPr>
          <w:rFonts w:ascii="Times New Roman" w:hAnsi="Times New Roman" w:eastAsia="FangSong"/>
          <w:b w:val="0"/>
          <w:color w:val="000000"/>
          <w:sz w:val="32"/>
        </w:rPr>
        <w:t>第一节 危害因素分析</w:t>
      </w:r>
    </w:p>
    <w:p>
      <w:pPr>
        <w:spacing w:line="560" w:lineRule="exact" w:before="0" w:after="0"/>
        <w:ind w:firstLine="480"/>
      </w:pPr>
      <w:r>
        <w:rPr>
          <w:rFonts w:ascii="Times New Roman" w:hAnsi="Times New Roman" w:eastAsia="FangSong"/>
          <w:b w:val="0"/>
          <w:color w:val="000000"/>
          <w:sz w:val="32"/>
        </w:rPr>
        <w:t>生产过程中存在的主要危险有害因素包括：机械伤害、触电、火灾爆炸（粉尘及天然气）、中毒窒息（有限空间作业）及噪声危害。此外，磷酸铁锂粉尘虽不易燃，但在特定浓度下仍存在粉尘爆炸风险，需重点防范。</w:t>
      </w:r>
    </w:p>
    <w:p>
      <w:pPr>
        <w:spacing w:line="560" w:lineRule="exact" w:before="0" w:after="0"/>
        <w:ind w:firstLine="480"/>
      </w:pPr>
      <w:r>
        <w:rPr>
          <w:rFonts w:ascii="Times New Roman" w:hAnsi="Times New Roman" w:eastAsia="FangSong"/>
          <w:b w:val="0"/>
          <w:color w:val="000000"/>
          <w:sz w:val="32"/>
        </w:rPr>
        <w:t>第二节 安全防护措施</w:t>
      </w:r>
    </w:p>
    <w:p>
      <w:pPr>
        <w:spacing w:line="560" w:lineRule="exact" w:before="0" w:after="0"/>
        <w:ind w:firstLine="480"/>
      </w:pPr>
      <w:r>
        <w:rPr>
          <w:rFonts w:ascii="Times New Roman" w:hAnsi="Times New Roman" w:eastAsia="FangSong"/>
          <w:b w:val="0"/>
          <w:color w:val="000000"/>
          <w:sz w:val="32"/>
        </w:rPr>
        <w:t>1. 机械安全：所有转动部件设置防护罩，危险区域设置安全联锁装置。</w:t>
        <w:br/>
        <w:t>2. 电气安全：采用TN-S接地系统，设置漏电保护及防雷接地设施。</w:t>
        <w:br/>
        <w:t>3. 防火防爆：车间按照甲/乙类防火等级设计，设置可燃气体报警系统及粉尘浓度监测报警系统。配备足量的消防器材，如干粉灭火器、消防栓及自动喷淋系统。</w:t>
        <w:br/>
        <w:t>4. 职业健康：为员工配备防尘口罩、耳塞等个人防护用品；定期开展职业健康体检；作业场所设置通风排毒设施，确保有毒有害物质浓度符合职业接触限值。</w:t>
      </w:r>
    </w:p>
    <w:p>
      <w:pPr>
        <w:spacing w:line="560" w:lineRule="exact" w:before="0" w:after="0"/>
        <w:ind w:firstLine="480"/>
      </w:pPr>
      <w:r>
        <w:rPr>
          <w:rFonts w:ascii="Times New Roman" w:hAnsi="Times New Roman" w:eastAsia="FangSong"/>
          <w:b w:val="0"/>
          <w:color w:val="000000"/>
          <w:sz w:val="32"/>
        </w:rPr>
        <w:t>第三节 消防设施</w:t>
      </w:r>
    </w:p>
    <w:p>
      <w:pPr>
        <w:spacing w:line="560" w:lineRule="exact" w:before="0" w:after="0"/>
        <w:ind w:firstLine="480"/>
      </w:pPr>
      <w:r>
        <w:rPr>
          <w:rFonts w:ascii="Times New Roman" w:hAnsi="Times New Roman" w:eastAsia="FangSong"/>
          <w:b w:val="0"/>
          <w:color w:val="000000"/>
          <w:sz w:val="32"/>
        </w:rPr>
        <w:t>项目严格按照《建筑设计防火规范》（GB 50016）进行消防设计。厂区设置环形消防通道，建筑物之间保持足够的防火间距。室内设置消火栓系统及灭火器，重要部位设置气体灭火系统。建立专职或兼职消防队伍，定期开展消防演练。</w:t>
      </w:r>
    </w:p>
    <w:p>
      <w:pPr>
        <w:spacing w:line="560" w:lineRule="exact" w:before="520" w:after="200"/>
      </w:pPr>
      <w:r>
        <w:rPr>
          <w:rFonts w:ascii="Times New Roman" w:hAnsi="Times New Roman" w:eastAsia="SimHei"/>
          <w:b/>
          <w:color w:val="000000"/>
          <w:sz w:val="32"/>
        </w:rPr>
        <w:t>第十章 组织机构与人力资源配置</w:t>
      </w:r>
    </w:p>
    <w:p>
      <w:pPr>
        <w:spacing w:line="560" w:lineRule="exact" w:before="0" w:after="0"/>
        <w:ind w:firstLine="480"/>
      </w:pPr>
      <w:r>
        <w:rPr>
          <w:rFonts w:ascii="Times New Roman" w:hAnsi="Times New Roman" w:eastAsia="FangSong"/>
          <w:b w:val="0"/>
          <w:color w:val="000000"/>
          <w:sz w:val="32"/>
        </w:rPr>
        <w:t>第一节 组织机构设置</w:t>
      </w:r>
    </w:p>
    <w:p>
      <w:pPr>
        <w:spacing w:line="560" w:lineRule="exact" w:before="0" w:after="0"/>
        <w:ind w:firstLine="480"/>
      </w:pPr>
      <w:r>
        <w:rPr>
          <w:rFonts w:ascii="Times New Roman" w:hAnsi="Times New Roman" w:eastAsia="FangSong"/>
          <w:b w:val="0"/>
          <w:color w:val="000000"/>
          <w:sz w:val="32"/>
        </w:rPr>
        <w:t>项目法人实行董事会领导下的总经理负责制。下设生产技术部、质量管理部、设备工程部、安环部、采购部、销售部、财务部及综合管理部等职能部门。组织架构扁平化，以提高管理效率和市场响应速度。</w:t>
      </w:r>
    </w:p>
    <w:p>
      <w:pPr>
        <w:spacing w:line="560" w:lineRule="exact" w:before="0" w:after="0"/>
        <w:ind w:firstLine="480"/>
      </w:pPr>
      <w:r>
        <w:rPr>
          <w:rFonts w:ascii="Times New Roman" w:hAnsi="Times New Roman" w:eastAsia="FangSong"/>
          <w:b w:val="0"/>
          <w:color w:val="000000"/>
          <w:sz w:val="32"/>
        </w:rPr>
        <w:t>第二节 人力资源配置</w:t>
      </w:r>
    </w:p>
    <w:p>
      <w:pPr>
        <w:spacing w:line="560" w:lineRule="exact" w:before="0" w:after="0"/>
        <w:ind w:firstLine="480"/>
      </w:pPr>
      <w:r>
        <w:rPr>
          <w:rFonts w:ascii="Times New Roman" w:hAnsi="Times New Roman" w:eastAsia="FangSong"/>
          <w:b w:val="0"/>
          <w:color w:val="000000"/>
          <w:sz w:val="32"/>
        </w:rPr>
        <w:t>项目达产年定员约{{定员人数}}人。其中：管理人员{{管理人数}}人，技术人员{{技术人数}}人，生产操作人员{{操作人数}}人，辅助人员{{辅助人数}}人。人员招聘坚持“公开、公平、公正”原则，优先录用具有相关行业经验的专业人才。</w:t>
      </w:r>
    </w:p>
    <w:p>
      <w:pPr>
        <w:spacing w:line="560" w:lineRule="exact" w:before="0" w:after="0"/>
        <w:ind w:firstLine="480"/>
      </w:pPr>
      <w:r>
        <w:rPr>
          <w:rFonts w:ascii="Times New Roman" w:hAnsi="Times New Roman" w:eastAsia="FangSong"/>
          <w:b w:val="0"/>
          <w:color w:val="000000"/>
          <w:sz w:val="32"/>
        </w:rPr>
        <w:t>第三节 员工培训</w:t>
      </w:r>
    </w:p>
    <w:p>
      <w:pPr>
        <w:spacing w:line="560" w:lineRule="exact" w:before="0" w:after="0"/>
        <w:ind w:firstLine="480"/>
      </w:pPr>
      <w:r>
        <w:rPr>
          <w:rFonts w:ascii="Times New Roman" w:hAnsi="Times New Roman" w:eastAsia="FangSong"/>
          <w:b w:val="0"/>
          <w:color w:val="000000"/>
          <w:sz w:val="32"/>
        </w:rPr>
        <w:t>建立完善的培训体系。新员工入职须经过三级安全教育及岗位技能培训，考核合格后方可上岗。定期对在职员工进行技能提升培训、安全知识培训及应急演练。鼓励员工参与职业资格认证，提升整体素质。</w:t>
      </w:r>
    </w:p>
    <w:p>
      <w:pPr>
        <w:spacing w:line="560" w:lineRule="exact" w:before="520" w:after="200"/>
      </w:pPr>
      <w:r>
        <w:rPr>
          <w:rFonts w:ascii="Times New Roman" w:hAnsi="Times New Roman" w:eastAsia="SimHei"/>
          <w:b/>
          <w:color w:val="000000"/>
          <w:sz w:val="32"/>
        </w:rPr>
        <w:t>第十一章 项目实施进度</w:t>
      </w:r>
    </w:p>
    <w:p>
      <w:pPr>
        <w:spacing w:line="560" w:lineRule="exact" w:before="0" w:after="0"/>
        <w:ind w:firstLine="480"/>
      </w:pPr>
      <w:r>
        <w:rPr>
          <w:rFonts w:ascii="Times New Roman" w:hAnsi="Times New Roman" w:eastAsia="FangSong"/>
          <w:b w:val="0"/>
          <w:color w:val="000000"/>
          <w:sz w:val="32"/>
        </w:rPr>
        <w:t>第一节 建设工期</w:t>
      </w:r>
    </w:p>
    <w:p>
      <w:pPr>
        <w:spacing w:line="560" w:lineRule="exact" w:before="0" w:after="0"/>
        <w:ind w:firstLine="480"/>
      </w:pPr>
      <w:r>
        <w:rPr>
          <w:rFonts w:ascii="Times New Roman" w:hAnsi="Times New Roman" w:eastAsia="FangSong"/>
          <w:b w:val="0"/>
          <w:color w:val="000000"/>
          <w:sz w:val="32"/>
        </w:rPr>
        <w:t>本项目总建设工期定为18个月。自项目核准之日起计算，至竣工投产止。</w:t>
      </w:r>
    </w:p>
    <w:p>
      <w:pPr>
        <w:spacing w:line="560" w:lineRule="exact" w:before="0" w:after="0"/>
        <w:ind w:firstLine="480"/>
      </w:pPr>
      <w:r>
        <w:rPr>
          <w:rFonts w:ascii="Times New Roman" w:hAnsi="Times New Roman" w:eastAsia="FangSong"/>
          <w:b w:val="0"/>
          <w:color w:val="000000"/>
          <w:sz w:val="32"/>
        </w:rPr>
        <w:t>第二节 实施进度安排</w:t>
      </w:r>
    </w:p>
    <w:p>
      <w:pPr>
        <w:spacing w:line="560" w:lineRule="exact" w:before="0" w:after="0"/>
        <w:ind w:firstLine="480"/>
      </w:pPr>
      <w:r>
        <w:rPr>
          <w:rFonts w:ascii="Times New Roman" w:hAnsi="Times New Roman" w:eastAsia="FangSong"/>
          <w:b w:val="0"/>
          <w:color w:val="000000"/>
          <w:sz w:val="32"/>
        </w:rPr>
        <w:t>1. 前期工作阶段（第1-3个月）：完成可行性研究报告编制及审批、环境影响评价、安全预评价、土地手续办理等。</w:t>
        <w:br/>
        <w:t>2. 工程设计阶段（第4-5个月）：完成初步设计、施工图设计及审查。</w:t>
        <w:br/>
        <w:t>3. 土建施工阶段（第6-12个月）：完成厂房基础、主体结构建设及配套设施施工。</w:t>
        <w:br/>
        <w:t>4. 设备采购与安装阶段（第10-15个月）：完成主要设备招标、采购、到货验收及安装调试。</w:t>
        <w:br/>
        <w:t>5. 试生产与竣工验收阶段（第16-18个月）：进行单机调试、联动试车、投料试生产，完成性能考核及竣工验收。</w:t>
      </w:r>
    </w:p>
    <w:p>
      <w:pPr>
        <w:spacing w:line="560" w:lineRule="exact" w:before="0" w:after="0"/>
        <w:ind w:firstLine="480"/>
      </w:pPr>
      <w:r>
        <w:rPr>
          <w:rFonts w:ascii="Times New Roman" w:hAnsi="Times New Roman" w:eastAsia="FangSong"/>
          <w:b w:val="0"/>
          <w:color w:val="000000"/>
          <w:sz w:val="32"/>
        </w:rPr>
        <w:t>为确保进度可控，将制定详细的甘特图，明确各节点责任人，实行周报月报制度，及时协调解决实施过程中的问题。</w:t>
      </w:r>
    </w:p>
    <w:p>
      <w:pPr>
        <w:spacing w:line="560" w:lineRule="exact" w:before="520" w:after="200"/>
      </w:pPr>
      <w:r>
        <w:rPr>
          <w:rFonts w:ascii="Times New Roman" w:hAnsi="Times New Roman" w:eastAsia="SimHei"/>
          <w:b/>
          <w:color w:val="000000"/>
          <w:sz w:val="32"/>
        </w:rPr>
        <w:t>第十二章 投资估算与资金筹措</w:t>
      </w:r>
    </w:p>
    <w:p>
      <w:pPr>
        <w:spacing w:line="560" w:lineRule="exact" w:before="0" w:after="0"/>
        <w:ind w:firstLine="480"/>
      </w:pPr>
      <w:r>
        <w:rPr>
          <w:rFonts w:ascii="Times New Roman" w:hAnsi="Times New Roman" w:eastAsia="FangSong"/>
          <w:b w:val="0"/>
          <w:color w:val="000000"/>
          <w:sz w:val="32"/>
        </w:rPr>
        <w:t>第一节 投资估算编制依据</w:t>
      </w:r>
    </w:p>
    <w:p>
      <w:pPr>
        <w:spacing w:line="560" w:lineRule="exact" w:before="0" w:after="0"/>
        <w:ind w:firstLine="480"/>
      </w:pPr>
      <w:r>
        <w:rPr>
          <w:rFonts w:ascii="Times New Roman" w:hAnsi="Times New Roman" w:eastAsia="FangSong"/>
          <w:b w:val="0"/>
          <w:color w:val="000000"/>
          <w:sz w:val="32"/>
        </w:rPr>
        <w:t>1. 《建设项目经济评价方法与参数》（第四版）；</w:t>
        <w:br/>
        <w:t>2. 浙江省建筑工程预算定额及配套费用定额；</w:t>
        <w:br/>
        <w:t>3. 类似工程造价指标及设备厂家报价；</w:t>
        <w:br/>
        <w:t>4. 项目建设方案及相关技术资料。</w:t>
      </w:r>
    </w:p>
    <w:p>
      <w:pPr>
        <w:spacing w:line="560" w:lineRule="exact" w:before="0" w:after="0"/>
        <w:ind w:firstLine="480"/>
      </w:pPr>
      <w:r>
        <w:rPr>
          <w:rFonts w:ascii="Times New Roman" w:hAnsi="Times New Roman" w:eastAsia="FangSong"/>
          <w:b w:val="0"/>
          <w:color w:val="000000"/>
          <w:sz w:val="32"/>
        </w:rPr>
        <w:t>第二节 建设投资估算</w:t>
      </w:r>
    </w:p>
    <w:p>
      <w:pPr>
        <w:spacing w:line="560" w:lineRule="exact" w:before="0" w:after="0"/>
        <w:ind w:firstLine="480"/>
      </w:pPr>
      <w:r>
        <w:rPr>
          <w:rFonts w:ascii="Times New Roman" w:hAnsi="Times New Roman" w:eastAsia="FangSong"/>
          <w:b w:val="0"/>
          <w:color w:val="000000"/>
          <w:sz w:val="32"/>
        </w:rPr>
        <w:t>项目总投资估算为50,000.00万元。其中：</w:t>
        <w:br/>
        <w:t>1. 建筑工程费：18,000.00万元，包括厂房、仓库、办公楼等土建工程；</w:t>
        <w:br/>
        <w:t>2. 设备购置费：22,000.00万元，包括生产线设备、检测设备、公用工程设备等；</w:t>
        <w:br/>
        <w:t>3. 安装工程费：2,000.00万元；</w:t>
        <w:br/>
        <w:t>4. 工程建设其他费用：3,000.00万元，包括土地费、勘察设计费、监理费、预备费等；</w:t>
        <w:br/>
        <w:t>5. 预备费：2,000.00万元，按基本预备费率计取。</w:t>
      </w:r>
    </w:p>
    <w:p>
      <w:pPr>
        <w:spacing w:line="560" w:lineRule="exact" w:before="0" w:after="0"/>
        <w:ind w:firstLine="480"/>
      </w:pPr>
      <w:r>
        <w:rPr>
          <w:rFonts w:ascii="Times New Roman" w:hAnsi="Times New Roman" w:eastAsia="FangSong"/>
          <w:b w:val="0"/>
          <w:color w:val="000000"/>
          <w:sz w:val="32"/>
        </w:rPr>
        <w:t>第三节 流动资金估算</w:t>
      </w:r>
    </w:p>
    <w:p>
      <w:pPr>
        <w:spacing w:line="560" w:lineRule="exact" w:before="0" w:after="0"/>
        <w:ind w:firstLine="480"/>
      </w:pPr>
      <w:r>
        <w:rPr>
          <w:rFonts w:ascii="Times New Roman" w:hAnsi="Times New Roman" w:eastAsia="FangSong"/>
          <w:b w:val="0"/>
          <w:color w:val="000000"/>
          <w:sz w:val="32"/>
        </w:rPr>
        <w:t>采用分项详细估算法，估算达产年需铺底流动资金5,000.00万元。主要用于购买原材料、燃料动力、支付工资及其他经营费用。</w:t>
      </w:r>
    </w:p>
    <w:p>
      <w:pPr>
        <w:spacing w:line="560" w:lineRule="exact" w:before="0" w:after="0"/>
        <w:ind w:firstLine="480"/>
      </w:pPr>
      <w:r>
        <w:rPr>
          <w:rFonts w:ascii="Times New Roman" w:hAnsi="Times New Roman" w:eastAsia="FangSong"/>
          <w:b w:val="0"/>
          <w:color w:val="000000"/>
          <w:sz w:val="32"/>
        </w:rPr>
        <w:t>第四节 资金筹措方案</w:t>
      </w:r>
    </w:p>
    <w:p>
      <w:pPr>
        <w:spacing w:line="560" w:lineRule="exact" w:before="0" w:after="0"/>
        <w:ind w:firstLine="480"/>
      </w:pPr>
      <w:r>
        <w:rPr>
          <w:rFonts w:ascii="Times New Roman" w:hAnsi="Times New Roman" w:eastAsia="FangSong"/>
          <w:b w:val="0"/>
          <w:color w:val="000000"/>
          <w:sz w:val="32"/>
        </w:rPr>
        <w:t>项目总投资50,000.00万元。资金来源如下：</w:t>
        <w:br/>
        <w:t>1. 企业自筹资金：25,000.00万元，占总投资的50%；</w:t>
        <w:br/>
        <w:t>2. 银行长期贷款：25,000.00万元，占总投资的50%，贷款年利率暂按4.5%测算，贷款期限8年。</w:t>
      </w:r>
    </w:p>
    <w:p>
      <w:pPr>
        <w:spacing w:line="560" w:lineRule="exact" w:before="0" w:after="0"/>
        <w:ind w:firstLine="480"/>
      </w:pPr>
      <w:r>
        <w:rPr>
          <w:rFonts w:ascii="Times New Roman" w:hAnsi="Times New Roman" w:eastAsia="FangSong"/>
          <w:b w:val="0"/>
          <w:color w:val="000000"/>
          <w:sz w:val="32"/>
        </w:rPr>
        <w:t>资金将根据工程进度分期投入，确保资金使用效率，降低财务成本。</w:t>
      </w:r>
    </w:p>
    <w:p>
      <w:pPr>
        <w:spacing w:line="560" w:lineRule="exact" w:before="520" w:after="200"/>
      </w:pPr>
      <w:r>
        <w:rPr>
          <w:rFonts w:ascii="Times New Roman" w:hAnsi="Times New Roman" w:eastAsia="SimHei"/>
          <w:b/>
          <w:color w:val="000000"/>
          <w:sz w:val="32"/>
        </w:rPr>
        <w:t>第十三章 财务分析</w:t>
      </w:r>
    </w:p>
    <w:p>
      <w:pPr>
        <w:spacing w:line="560" w:lineRule="exact" w:before="0" w:after="0"/>
        <w:ind w:firstLine="480"/>
      </w:pPr>
      <w:r>
        <w:rPr>
          <w:rFonts w:ascii="Times New Roman" w:hAnsi="Times New Roman" w:eastAsia="FangSong"/>
          <w:b w:val="0"/>
          <w:color w:val="000000"/>
          <w:sz w:val="32"/>
        </w:rPr>
        <w:t>第一节 基本财务数据假设</w:t>
      </w:r>
    </w:p>
    <w:p>
      <w:pPr>
        <w:spacing w:line="560" w:lineRule="exact" w:before="0" w:after="0"/>
        <w:ind w:firstLine="480"/>
      </w:pPr>
      <w:r>
        <w:rPr>
          <w:rFonts w:ascii="Times New Roman" w:hAnsi="Times New Roman" w:eastAsia="FangSong"/>
          <w:b w:val="0"/>
          <w:color w:val="000000"/>
          <w:sz w:val="32"/>
        </w:rPr>
        <w:t>基于市场调研及项目方案，设定以下财务测算基础数据（详见本章末尾financial_model）：</w:t>
        <w:br/>
        <w:t>1. 计算期：建设期2年（含前期），运营期10年，共12年。</w:t>
        <w:br/>
        <w:t>2. 营业收入：达产年（第3年）营业收入80,000.00万元。考虑到产能爬坡，第1年负荷60%，第2年负荷80%，第3年及以后满负荷。</w:t>
        <w:br/>
        <w:t>3. 总成本费用：达产年总成本费用62,000.00万元。其中固定成本18,000.00万元，可变成本44,000.00万元（可变成本比率0.55）。</w:t>
        <w:br/>
        <w:t>4. 税金及附加：增值税率13%，城建税及教育费附加按增值税额的12%计取。企业所得税率25%。</w:t>
        <w:br/>
        <w:t>5. 折旧与摊销：固定资产残值率5%，折旧年限10年；无形资产及递延资产按5年摊销。</w:t>
      </w:r>
    </w:p>
    <w:p>
      <w:pPr>
        <w:spacing w:line="560" w:lineRule="exact" w:before="0" w:after="0"/>
        <w:ind w:firstLine="480"/>
      </w:pPr>
      <w:r>
        <w:rPr>
          <w:rFonts w:ascii="Times New Roman" w:hAnsi="Times New Roman" w:eastAsia="FangSong"/>
          <w:b w:val="0"/>
          <w:color w:val="000000"/>
          <w:sz w:val="32"/>
        </w:rPr>
        <w:t>第二节 盈利能力分析</w:t>
      </w:r>
    </w:p>
    <w:p>
      <w:pPr>
        <w:spacing w:line="560" w:lineRule="exact" w:before="0" w:after="0"/>
        <w:ind w:firstLine="480"/>
      </w:pPr>
      <w:r>
        <w:rPr>
          <w:rFonts w:ascii="Times New Roman" w:hAnsi="Times New Roman" w:eastAsia="FangSong"/>
          <w:b w:val="0"/>
          <w:color w:val="000000"/>
          <w:sz w:val="32"/>
        </w:rPr>
        <w:t>经系统测算（具体数值见附表），项目所得税后财务内部收益率（FIRR）高于行业基准收益率（6%），财务净现值（FNPV）大于零，静态及动态投资回收期均处于合理区间。这表明项目在财务上具有较强的盈利能力，能够为企业带来良好的投资回报。</w:t>
      </w:r>
    </w:p>
    <w:p>
      <w:pPr>
        <w:spacing w:line="560" w:lineRule="exact" w:before="0" w:after="0"/>
        <w:ind w:firstLine="480"/>
      </w:pPr>
      <w:r>
        <w:rPr>
          <w:rFonts w:ascii="Times New Roman" w:hAnsi="Times New Roman" w:eastAsia="FangSong"/>
          <w:b w:val="0"/>
          <w:color w:val="000000"/>
          <w:sz w:val="32"/>
        </w:rPr>
        <w:t>第三节 偿债能力分析</w:t>
      </w:r>
    </w:p>
    <w:p>
      <w:pPr>
        <w:spacing w:line="560" w:lineRule="exact" w:before="0" w:after="0"/>
        <w:ind w:firstLine="480"/>
      </w:pPr>
      <w:r>
        <w:rPr>
          <w:rFonts w:ascii="Times New Roman" w:hAnsi="Times New Roman" w:eastAsia="FangSong"/>
          <w:b w:val="0"/>
          <w:color w:val="000000"/>
          <w:sz w:val="32"/>
        </w:rPr>
        <w:t>项目偿债备付率（DSCR）及利息备付率（ICR）在运营期内均大于1，表明项目具备足够的现金流覆盖当期债务本息，偿债风险较低。资产负债率在运营初期较高，随利润积累逐步下降，财务结构趋于稳健。</w:t>
      </w:r>
    </w:p>
    <w:p>
      <w:pPr>
        <w:spacing w:line="560" w:lineRule="exact" w:before="0" w:after="0"/>
        <w:ind w:firstLine="480"/>
      </w:pPr>
      <w:r>
        <w:rPr>
          <w:rFonts w:ascii="Times New Roman" w:hAnsi="Times New Roman" w:eastAsia="FangSong"/>
          <w:b w:val="0"/>
          <w:color w:val="000000"/>
          <w:sz w:val="32"/>
        </w:rPr>
        <w:t>第四节 不确定性分析</w:t>
      </w:r>
    </w:p>
    <w:p>
      <w:pPr>
        <w:spacing w:line="560" w:lineRule="exact" w:before="0" w:after="0"/>
        <w:ind w:firstLine="480"/>
      </w:pPr>
      <w:r>
        <w:rPr>
          <w:rFonts w:ascii="Times New Roman" w:hAnsi="Times New Roman" w:eastAsia="FangSong"/>
          <w:b w:val="0"/>
          <w:color w:val="000000"/>
          <w:sz w:val="32"/>
        </w:rPr>
        <w:t>1. 盈亏平衡分析：以生产能力利用率表示的盈亏平衡点（BEP）较低（具体值见附表），说明项目抗风险能力较强，即使产量有所下降，仍能保持盈利。</w:t>
        <w:br/>
        <w:t>2. 敏感性分析：选取建设投资、营业收入、经营成本三个因素进行单因素敏感性分析。结果显示，营业收入和经营成本对项目内部收益率影响较大，建设投资影响相对较小。建议项目在运营期重点关注市场拓展及成本控制。</w:t>
      </w:r>
    </w:p>
    <w:p>
      <w:pPr>
        <w:spacing w:line="560" w:lineRule="exact" w:before="0" w:after="0"/>
        <w:ind w:firstLine="480"/>
      </w:pPr>
      <w:r>
        <w:rPr>
          <w:rFonts w:ascii="Times New Roman" w:hAnsi="Times New Roman" w:eastAsia="FangSong"/>
          <w:b w:val="0"/>
          <w:color w:val="000000"/>
          <w:sz w:val="32"/>
        </w:rPr>
        <w:t>第五节 财务评价结论</w:t>
      </w:r>
    </w:p>
    <w:p>
      <w:pPr>
        <w:spacing w:line="560" w:lineRule="exact" w:before="0" w:after="0"/>
        <w:ind w:firstLine="480"/>
      </w:pPr>
      <w:r>
        <w:rPr>
          <w:rFonts w:ascii="Times New Roman" w:hAnsi="Times New Roman" w:eastAsia="FangSong"/>
          <w:b w:val="0"/>
          <w:color w:val="000000"/>
          <w:sz w:val="32"/>
        </w:rPr>
        <w:t>综上所述，本项目各项财务评价指标均优于行业基准水平，盈利能力较强，偿债能力有保障，抗风险能力良好。从财务角度分析，本项目是可行的。</w:t>
      </w:r>
    </w:p>
    <w:p>
      <w:pPr>
        <w:spacing w:line="560" w:lineRule="exact" w:before="520" w:after="200"/>
      </w:pPr>
      <w:r>
        <w:rPr>
          <w:rFonts w:ascii="Times New Roman" w:hAnsi="Times New Roman" w:eastAsia="SimHei"/>
          <w:b/>
          <w:color w:val="000000"/>
          <w:sz w:val="32"/>
        </w:rPr>
        <w:t>财务测算指标</w:t>
      </w:r>
    </w:p>
    <w:p>
      <w:pPr>
        <w:spacing w:line="560" w:lineRule="exact" w:before="280" w:after="120"/>
      </w:pPr>
      <w:r>
        <w:rPr>
          <w:rFonts w:ascii="Times New Roman" w:hAnsi="Times New Roman" w:eastAsia="KaiTi"/>
          <w:b w:val="0"/>
          <w:color w:val="000000"/>
          <w:sz w:val="32"/>
        </w:rPr>
        <w:t>（一）投资估算</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929"/>
        <w:gridCol w:w="2929"/>
        <w:gridCol w:w="2929"/>
      </w:tblGrid>
      <w:tr>
        <w:tc>
          <w:tcPr>
            <w:tcW w:type="dxa" w:w="2929"/>
          </w:tcPr>
          <w:p>
            <w:pPr>
              <w:jc w:val="center"/>
            </w:pPr>
            <w:r/>
            <w:r>
              <w:rPr>
                <w:rFonts w:eastAsia="FangSong" w:ascii="Times New Roman" w:hAnsi="Times New Roman"/>
                <w:b/>
                <w:color w:val="111827"/>
                <w:sz w:val="21"/>
              </w:rPr>
              <w:t>投资构成</w:t>
            </w:r>
          </w:p>
        </w:tc>
        <w:tc>
          <w:tcPr>
            <w:tcW w:type="dxa" w:w="2929"/>
          </w:tcPr>
          <w:p>
            <w:pPr>
              <w:jc w:val="center"/>
            </w:pPr>
            <w:r/>
            <w:r>
              <w:rPr>
                <w:rFonts w:eastAsia="FangSong" w:ascii="Times New Roman" w:hAnsi="Times New Roman"/>
                <w:b/>
                <w:color w:val="111827"/>
                <w:sz w:val="21"/>
              </w:rPr>
              <w:t>金额</w:t>
            </w:r>
          </w:p>
        </w:tc>
        <w:tc>
          <w:tcPr>
            <w:tcW w:type="dxa" w:w="2929"/>
          </w:tcPr>
          <w:p>
            <w:pPr>
              <w:jc w:val="center"/>
            </w:pPr>
            <w:r/>
            <w:r>
              <w:rPr>
                <w:rFonts w:eastAsia="FangSong" w:ascii="Times New Roman" w:hAnsi="Times New Roman"/>
                <w:b/>
                <w:color w:val="111827"/>
                <w:sz w:val="21"/>
              </w:rPr>
              <w:t>占总投资比例</w:t>
            </w:r>
          </w:p>
        </w:tc>
      </w:tr>
      <w:tr>
        <w:tc>
          <w:tcPr>
            <w:tcW w:type="dxa" w:w="2929"/>
          </w:tcPr>
          <w:p>
            <w:pPr>
              <w:jc w:val="left"/>
            </w:pPr>
            <w:r/>
            <w:r>
              <w:rPr>
                <w:rFonts w:eastAsia="FangSong" w:ascii="Times New Roman" w:hAnsi="Times New Roman"/>
                <w:color w:val="4B5563"/>
                <w:sz w:val="18"/>
              </w:rPr>
              <w:t>建筑工程费</w:t>
            </w:r>
          </w:p>
        </w:tc>
        <w:tc>
          <w:tcPr>
            <w:tcW w:type="dxa" w:w="2929"/>
          </w:tcPr>
          <w:p>
            <w:pPr>
              <w:jc w:val="right"/>
            </w:pPr>
            <w:r/>
            <w:r>
              <w:rPr>
                <w:rFonts w:eastAsia="FangSong" w:ascii="Times New Roman" w:hAnsi="Times New Roman"/>
                <w:color w:val="4B5563"/>
                <w:sz w:val="18"/>
              </w:rPr>
              <w:t>18,000.00</w:t>
            </w:r>
          </w:p>
        </w:tc>
        <w:tc>
          <w:tcPr>
            <w:tcW w:type="dxa" w:w="2929"/>
          </w:tcPr>
          <w:p>
            <w:pPr>
              <w:jc w:val="right"/>
            </w:pPr>
            <w:r/>
            <w:r>
              <w:rPr>
                <w:rFonts w:eastAsia="FangSong" w:ascii="Times New Roman" w:hAnsi="Times New Roman"/>
                <w:color w:val="4B5563"/>
                <w:sz w:val="18"/>
              </w:rPr>
              <w:t>36.00%</w:t>
            </w:r>
          </w:p>
        </w:tc>
      </w:tr>
      <w:tr>
        <w:tc>
          <w:tcPr>
            <w:tcW w:type="dxa" w:w="2929"/>
          </w:tcPr>
          <w:p>
            <w:pPr>
              <w:jc w:val="left"/>
            </w:pPr>
            <w:r/>
            <w:r>
              <w:rPr>
                <w:rFonts w:eastAsia="FangSong" w:ascii="Times New Roman" w:hAnsi="Times New Roman"/>
                <w:color w:val="4B5563"/>
                <w:sz w:val="18"/>
              </w:rPr>
              <w:t>设备购置费</w:t>
            </w:r>
          </w:p>
        </w:tc>
        <w:tc>
          <w:tcPr>
            <w:tcW w:type="dxa" w:w="2929"/>
          </w:tcPr>
          <w:p>
            <w:pPr>
              <w:jc w:val="right"/>
            </w:pPr>
            <w:r/>
            <w:r>
              <w:rPr>
                <w:rFonts w:eastAsia="FangSong" w:ascii="Times New Roman" w:hAnsi="Times New Roman"/>
                <w:color w:val="4B5563"/>
                <w:sz w:val="18"/>
              </w:rPr>
              <w:t>22,000.00</w:t>
            </w:r>
          </w:p>
        </w:tc>
        <w:tc>
          <w:tcPr>
            <w:tcW w:type="dxa" w:w="2929"/>
          </w:tcPr>
          <w:p>
            <w:pPr>
              <w:jc w:val="right"/>
            </w:pPr>
            <w:r/>
            <w:r>
              <w:rPr>
                <w:rFonts w:eastAsia="FangSong" w:ascii="Times New Roman" w:hAnsi="Times New Roman"/>
                <w:color w:val="4B5563"/>
                <w:sz w:val="18"/>
              </w:rPr>
              <w:t>44.00%</w:t>
            </w:r>
          </w:p>
        </w:tc>
      </w:tr>
      <w:tr>
        <w:tc>
          <w:tcPr>
            <w:tcW w:type="dxa" w:w="2929"/>
          </w:tcPr>
          <w:p>
            <w:pPr>
              <w:jc w:val="left"/>
            </w:pPr>
            <w:r/>
            <w:r>
              <w:rPr>
                <w:rFonts w:eastAsia="FangSong" w:ascii="Times New Roman" w:hAnsi="Times New Roman"/>
                <w:color w:val="4B5563"/>
                <w:sz w:val="18"/>
              </w:rPr>
              <w:t>安装工程费</w:t>
            </w:r>
          </w:p>
        </w:tc>
        <w:tc>
          <w:tcPr>
            <w:tcW w:type="dxa" w:w="2929"/>
          </w:tcPr>
          <w:p>
            <w:pPr>
              <w:jc w:val="right"/>
            </w:pPr>
            <w:r/>
            <w:r>
              <w:rPr>
                <w:rFonts w:eastAsia="FangSong" w:ascii="Times New Roman" w:hAnsi="Times New Roman"/>
                <w:color w:val="4B5563"/>
                <w:sz w:val="18"/>
              </w:rPr>
              <w:t>2,000.00</w:t>
            </w:r>
          </w:p>
        </w:tc>
        <w:tc>
          <w:tcPr>
            <w:tcW w:type="dxa" w:w="2929"/>
          </w:tcPr>
          <w:p>
            <w:pPr>
              <w:jc w:val="right"/>
            </w:pPr>
            <w:r/>
            <w:r>
              <w:rPr>
                <w:rFonts w:eastAsia="FangSong" w:ascii="Times New Roman" w:hAnsi="Times New Roman"/>
                <w:color w:val="4B5563"/>
                <w:sz w:val="18"/>
              </w:rPr>
              <w:t>4.00%</w:t>
            </w:r>
          </w:p>
        </w:tc>
      </w:tr>
      <w:tr>
        <w:tc>
          <w:tcPr>
            <w:tcW w:type="dxa" w:w="2929"/>
          </w:tcPr>
          <w:p>
            <w:pPr>
              <w:jc w:val="left"/>
            </w:pPr>
            <w:r/>
            <w:r>
              <w:rPr>
                <w:rFonts w:eastAsia="FangSong" w:ascii="Times New Roman" w:hAnsi="Times New Roman"/>
                <w:color w:val="4B5563"/>
                <w:sz w:val="18"/>
              </w:rPr>
              <w:t>工程建设其他费</w:t>
            </w:r>
          </w:p>
        </w:tc>
        <w:tc>
          <w:tcPr>
            <w:tcW w:type="dxa" w:w="2929"/>
          </w:tcPr>
          <w:p>
            <w:pPr>
              <w:jc w:val="right"/>
            </w:pPr>
            <w:r/>
            <w:r>
              <w:rPr>
                <w:rFonts w:eastAsia="FangSong" w:ascii="Times New Roman" w:hAnsi="Times New Roman"/>
                <w:color w:val="4B5563"/>
                <w:sz w:val="18"/>
              </w:rPr>
              <w:t>3,000.00</w:t>
            </w:r>
          </w:p>
        </w:tc>
        <w:tc>
          <w:tcPr>
            <w:tcW w:type="dxa" w:w="2929"/>
          </w:tcPr>
          <w:p>
            <w:pPr>
              <w:jc w:val="right"/>
            </w:pPr>
            <w:r/>
            <w:r>
              <w:rPr>
                <w:rFonts w:eastAsia="FangSong" w:ascii="Times New Roman" w:hAnsi="Times New Roman"/>
                <w:color w:val="4B5563"/>
                <w:sz w:val="18"/>
              </w:rPr>
              <w:t>6.00%</w:t>
            </w:r>
          </w:p>
        </w:tc>
      </w:tr>
      <w:tr>
        <w:tc>
          <w:tcPr>
            <w:tcW w:type="dxa" w:w="2929"/>
          </w:tcPr>
          <w:p>
            <w:pPr>
              <w:jc w:val="left"/>
            </w:pPr>
            <w:r/>
            <w:r>
              <w:rPr>
                <w:rFonts w:eastAsia="FangSong" w:ascii="Times New Roman" w:hAnsi="Times New Roman"/>
                <w:color w:val="4B5563"/>
                <w:sz w:val="18"/>
              </w:rPr>
              <w:t>预备费</w:t>
            </w:r>
          </w:p>
        </w:tc>
        <w:tc>
          <w:tcPr>
            <w:tcW w:type="dxa" w:w="2929"/>
          </w:tcPr>
          <w:p>
            <w:pPr>
              <w:jc w:val="right"/>
            </w:pPr>
            <w:r/>
            <w:r>
              <w:rPr>
                <w:rFonts w:eastAsia="FangSong" w:ascii="Times New Roman" w:hAnsi="Times New Roman"/>
                <w:color w:val="4B5563"/>
                <w:sz w:val="18"/>
              </w:rPr>
              <w:t>2,000.00</w:t>
            </w:r>
          </w:p>
        </w:tc>
        <w:tc>
          <w:tcPr>
            <w:tcW w:type="dxa" w:w="2929"/>
          </w:tcPr>
          <w:p>
            <w:pPr>
              <w:jc w:val="right"/>
            </w:pPr>
            <w:r/>
            <w:r>
              <w:rPr>
                <w:rFonts w:eastAsia="FangSong" w:ascii="Times New Roman" w:hAnsi="Times New Roman"/>
                <w:color w:val="4B5563"/>
                <w:sz w:val="18"/>
              </w:rPr>
              <w:t>4.00%</w:t>
            </w:r>
          </w:p>
        </w:tc>
      </w:tr>
      <w:tr>
        <w:tc>
          <w:tcPr>
            <w:tcW w:type="dxa" w:w="2929"/>
          </w:tcPr>
          <w:p>
            <w:pPr>
              <w:jc w:val="left"/>
            </w:pPr>
            <w:r/>
            <w:r>
              <w:rPr>
                <w:rFonts w:eastAsia="FangSong" w:ascii="Times New Roman" w:hAnsi="Times New Roman"/>
                <w:color w:val="4B5563"/>
                <w:sz w:val="18"/>
              </w:rPr>
              <w:t>流动资金</w:t>
            </w:r>
          </w:p>
        </w:tc>
        <w:tc>
          <w:tcPr>
            <w:tcW w:type="dxa" w:w="2929"/>
          </w:tcPr>
          <w:p>
            <w:pPr>
              <w:jc w:val="right"/>
            </w:pPr>
            <w:r/>
            <w:r>
              <w:rPr>
                <w:rFonts w:eastAsia="FangSong" w:ascii="Times New Roman" w:hAnsi="Times New Roman"/>
                <w:color w:val="4B5563"/>
                <w:sz w:val="18"/>
              </w:rPr>
              <w:t>5,000.00</w:t>
            </w:r>
          </w:p>
        </w:tc>
        <w:tc>
          <w:tcPr>
            <w:tcW w:type="dxa" w:w="2929"/>
          </w:tcPr>
          <w:p>
            <w:pPr>
              <w:jc w:val="right"/>
            </w:pPr>
            <w:r/>
            <w:r>
              <w:rPr>
                <w:rFonts w:eastAsia="FangSong" w:ascii="Times New Roman" w:hAnsi="Times New Roman"/>
                <w:color w:val="4B5563"/>
                <w:sz w:val="18"/>
              </w:rPr>
              <w:t>10.00%</w:t>
            </w:r>
          </w:p>
        </w:tc>
      </w:tr>
      <w:tr>
        <w:tc>
          <w:tcPr>
            <w:tcW w:type="dxa" w:w="2929"/>
          </w:tcPr>
          <w:p>
            <w:pPr>
              <w:jc w:val="left"/>
            </w:pPr>
            <w:r/>
            <w:r>
              <w:rPr>
                <w:rFonts w:eastAsia="FangSong" w:ascii="Times New Roman" w:hAnsi="Times New Roman"/>
                <w:color w:val="4B5563"/>
                <w:sz w:val="18"/>
              </w:rPr>
              <w:t>合计</w:t>
            </w:r>
          </w:p>
        </w:tc>
        <w:tc>
          <w:tcPr>
            <w:tcW w:type="dxa" w:w="2929"/>
          </w:tcPr>
          <w:p>
            <w:pPr>
              <w:jc w:val="right"/>
            </w:pPr>
            <w:r/>
            <w:r>
              <w:rPr>
                <w:rFonts w:eastAsia="FangSong" w:ascii="Times New Roman" w:hAnsi="Times New Roman"/>
                <w:color w:val="4B5563"/>
                <w:sz w:val="18"/>
              </w:rPr>
              <w:t>52,000.00</w:t>
            </w:r>
          </w:p>
        </w:tc>
        <w:tc>
          <w:tcPr>
            <w:tcW w:type="dxa" w:w="2929"/>
          </w:tcPr>
          <w:p>
            <w:pPr>
              <w:jc w:val="right"/>
            </w:pPr>
            <w:r/>
            <w:r>
              <w:rPr>
                <w:rFonts w:eastAsia="FangSong" w:ascii="Times New Roman" w:hAnsi="Times New Roman"/>
                <w:color w:val="4B5563"/>
                <w:sz w:val="18"/>
              </w:rPr>
              <w:t>104.00%</w:t>
            </w:r>
          </w:p>
        </w:tc>
      </w:tr>
    </w:tbl>
    <w:p>
      <w:pPr>
        <w:spacing w:line="560" w:lineRule="exact" w:before="280" w:after="120"/>
      </w:pPr>
      <w:r>
        <w:rPr>
          <w:rFonts w:ascii="Times New Roman" w:hAnsi="Times New Roman" w:eastAsia="KaiTi"/>
          <w:b w:val="0"/>
          <w:color w:val="000000"/>
          <w:sz w:val="32"/>
        </w:rPr>
        <w:t>（二）主要财务评价指标</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2929"/>
        <w:gridCol w:w="2929"/>
        <w:gridCol w:w="2929"/>
      </w:tblGrid>
      <w:tr>
        <w:tc>
          <w:tcPr>
            <w:tcW w:type="dxa" w:w="2929"/>
          </w:tcPr>
          <w:p>
            <w:pPr>
              <w:jc w:val="center"/>
            </w:pPr>
            <w:r/>
            <w:r>
              <w:rPr>
                <w:rFonts w:eastAsia="FangSong" w:ascii="Times New Roman" w:hAnsi="Times New Roman"/>
                <w:b/>
                <w:color w:val="111827"/>
                <w:sz w:val="21"/>
              </w:rPr>
              <w:t>财务评价指标</w:t>
            </w:r>
          </w:p>
        </w:tc>
        <w:tc>
          <w:tcPr>
            <w:tcW w:type="dxa" w:w="2929"/>
          </w:tcPr>
          <w:p>
            <w:pPr>
              <w:jc w:val="center"/>
            </w:pPr>
            <w:r/>
            <w:r>
              <w:rPr>
                <w:rFonts w:eastAsia="FangSong" w:ascii="Times New Roman" w:hAnsi="Times New Roman"/>
                <w:b/>
                <w:color w:val="111827"/>
                <w:sz w:val="21"/>
              </w:rPr>
              <w:t>税前</w:t>
            </w:r>
          </w:p>
        </w:tc>
        <w:tc>
          <w:tcPr>
            <w:tcW w:type="dxa" w:w="2929"/>
          </w:tcPr>
          <w:p>
            <w:pPr>
              <w:jc w:val="center"/>
            </w:pPr>
            <w:r/>
            <w:r>
              <w:rPr>
                <w:rFonts w:eastAsia="FangSong" w:ascii="Times New Roman" w:hAnsi="Times New Roman"/>
                <w:b/>
                <w:color w:val="111827"/>
                <w:sz w:val="21"/>
              </w:rPr>
              <w:t>税后</w:t>
            </w:r>
          </w:p>
        </w:tc>
      </w:tr>
      <w:tr>
        <w:tc>
          <w:tcPr>
            <w:tcW w:type="dxa" w:w="2929"/>
          </w:tcPr>
          <w:p>
            <w:pPr>
              <w:jc w:val="left"/>
            </w:pPr>
            <w:r/>
            <w:r>
              <w:rPr>
                <w:rFonts w:eastAsia="FangSong" w:ascii="Times New Roman" w:hAnsi="Times New Roman"/>
                <w:color w:val="4B5563"/>
                <w:sz w:val="18"/>
              </w:rPr>
              <w:t>项目财务内部收益率 FIRR</w:t>
            </w:r>
          </w:p>
        </w:tc>
        <w:tc>
          <w:tcPr>
            <w:tcW w:type="dxa" w:w="2929"/>
          </w:tcPr>
          <w:p>
            <w:pPr>
              <w:jc w:val="right"/>
            </w:pPr>
            <w:r/>
            <w:r>
              <w:rPr>
                <w:rFonts w:eastAsia="FangSong" w:ascii="Times New Roman" w:hAnsi="Times New Roman"/>
                <w:color w:val="4B5563"/>
                <w:sz w:val="18"/>
              </w:rPr>
              <w:t>25.38%</w:t>
            </w:r>
          </w:p>
        </w:tc>
        <w:tc>
          <w:tcPr>
            <w:tcW w:type="dxa" w:w="2929"/>
          </w:tcPr>
          <w:p>
            <w:pPr>
              <w:jc w:val="right"/>
            </w:pPr>
            <w:r/>
            <w:r>
              <w:rPr>
                <w:rFonts w:eastAsia="FangSong" w:ascii="Times New Roman" w:hAnsi="Times New Roman"/>
                <w:color w:val="4B5563"/>
                <w:sz w:val="18"/>
              </w:rPr>
              <w:t>20.39%</w:t>
            </w:r>
          </w:p>
        </w:tc>
      </w:tr>
      <w:tr>
        <w:tc>
          <w:tcPr>
            <w:tcW w:type="dxa" w:w="2929"/>
          </w:tcPr>
          <w:p>
            <w:pPr>
              <w:jc w:val="left"/>
            </w:pPr>
            <w:r/>
            <w:r>
              <w:rPr>
                <w:rFonts w:eastAsia="FangSong" w:ascii="Times New Roman" w:hAnsi="Times New Roman"/>
                <w:color w:val="4B5563"/>
                <w:sz w:val="18"/>
              </w:rPr>
              <w:t>财务净现值 FNPV（万元）</w:t>
            </w:r>
          </w:p>
        </w:tc>
        <w:tc>
          <w:tcPr>
            <w:tcW w:type="dxa" w:w="2929"/>
          </w:tcPr>
          <w:p>
            <w:pPr>
              <w:jc w:val="right"/>
            </w:pPr>
            <w:r/>
            <w:r>
              <w:rPr>
                <w:rFonts w:eastAsia="FangSong" w:ascii="Times New Roman" w:hAnsi="Times New Roman"/>
                <w:color w:val="4B5563"/>
                <w:sz w:val="18"/>
              </w:rPr>
              <w:t>58,086.97</w:t>
            </w:r>
          </w:p>
        </w:tc>
        <w:tc>
          <w:tcPr>
            <w:tcW w:type="dxa" w:w="2929"/>
          </w:tcPr>
          <w:p>
            <w:pPr>
              <w:jc w:val="right"/>
            </w:pPr>
            <w:r/>
            <w:r>
              <w:rPr>
                <w:rFonts w:eastAsia="FangSong" w:ascii="Times New Roman" w:hAnsi="Times New Roman"/>
                <w:color w:val="4B5563"/>
                <w:sz w:val="18"/>
              </w:rPr>
              <w:t>49,584.05</w:t>
            </w:r>
          </w:p>
        </w:tc>
      </w:tr>
      <w:tr>
        <w:tc>
          <w:tcPr>
            <w:tcW w:type="dxa" w:w="2929"/>
          </w:tcPr>
          <w:p>
            <w:pPr>
              <w:jc w:val="left"/>
            </w:pPr>
            <w:r/>
            <w:r>
              <w:rPr>
                <w:rFonts w:eastAsia="FangSong" w:ascii="Times New Roman" w:hAnsi="Times New Roman"/>
                <w:color w:val="4B5563"/>
                <w:sz w:val="18"/>
              </w:rPr>
              <w:t>投资回收期（含建设期）</w:t>
            </w:r>
          </w:p>
        </w:tc>
        <w:tc>
          <w:tcPr>
            <w:tcW w:type="dxa" w:w="2929"/>
          </w:tcPr>
          <w:p>
            <w:pPr>
              <w:jc w:val="right"/>
            </w:pPr>
            <w:r/>
            <w:r>
              <w:rPr>
                <w:rFonts w:eastAsia="FangSong" w:ascii="Times New Roman" w:hAnsi="Times New Roman"/>
                <w:color w:val="4B5563"/>
                <w:sz w:val="18"/>
              </w:rPr>
              <w:t>4.38 年</w:t>
            </w:r>
          </w:p>
        </w:tc>
        <w:tc>
          <w:tcPr>
            <w:tcW w:type="dxa" w:w="2929"/>
          </w:tcPr>
          <w:p>
            <w:pPr>
              <w:jc w:val="right"/>
            </w:pPr>
            <w:r/>
            <w:r>
              <w:rPr>
                <w:rFonts w:eastAsia="FangSong" w:ascii="Times New Roman" w:hAnsi="Times New Roman"/>
                <w:color w:val="4B5563"/>
                <w:sz w:val="18"/>
              </w:rPr>
              <w:t>5.17 年（动态）</w:t>
            </w:r>
          </w:p>
        </w:tc>
      </w:tr>
      <w:tr>
        <w:tc>
          <w:tcPr>
            <w:tcW w:type="dxa" w:w="2929"/>
          </w:tcPr>
          <w:p>
            <w:pPr>
              <w:jc w:val="left"/>
            </w:pPr>
            <w:r/>
            <w:r>
              <w:rPr>
                <w:rFonts w:eastAsia="FangSong" w:ascii="Times New Roman" w:hAnsi="Times New Roman"/>
                <w:color w:val="4B5563"/>
                <w:sz w:val="18"/>
              </w:rPr>
              <w:t>总投资利润率</w:t>
            </w:r>
          </w:p>
        </w:tc>
        <w:tc>
          <w:tcPr>
            <w:tcW w:type="dxa" w:w="2929"/>
          </w:tcPr>
          <w:p>
            <w:pPr>
              <w:jc w:val="right"/>
            </w:pPr>
            <w:r/>
            <w:r>
              <w:rPr>
                <w:rFonts w:eastAsia="FangSong" w:ascii="Times New Roman" w:hAnsi="Times New Roman"/>
                <w:color w:val="4B5563"/>
                <w:sz w:val="18"/>
              </w:rPr>
              <w:t>24.43%</w:t>
            </w:r>
          </w:p>
        </w:tc>
        <w:tc>
          <w:tcPr>
            <w:tcW w:type="dxa" w:w="2929"/>
          </w:tcPr>
          <w:p>
            <w:pPr>
              <w:jc w:val="right"/>
            </w:pPr>
            <w:r/>
            <w:r>
              <w:rPr>
                <w:rFonts w:eastAsia="FangSong" w:ascii="Times New Roman" w:hAnsi="Times New Roman"/>
                <w:color w:val="4B5563"/>
                <w:sz w:val="18"/>
              </w:rPr>
              <w:t>—</w:t>
            </w:r>
          </w:p>
        </w:tc>
      </w:tr>
      <w:tr>
        <w:tc>
          <w:tcPr>
            <w:tcW w:type="dxa" w:w="2929"/>
          </w:tcPr>
          <w:p>
            <w:pPr>
              <w:jc w:val="left"/>
            </w:pPr>
            <w:r/>
            <w:r>
              <w:rPr>
                <w:rFonts w:eastAsia="FangSong" w:ascii="Times New Roman" w:hAnsi="Times New Roman"/>
                <w:color w:val="4B5563"/>
                <w:sz w:val="18"/>
              </w:rPr>
              <w:t>利息备付率 ICR</w:t>
            </w:r>
          </w:p>
        </w:tc>
        <w:tc>
          <w:tcPr>
            <w:tcW w:type="dxa" w:w="2929"/>
          </w:tcPr>
          <w:p>
            <w:pPr>
              <w:jc w:val="right"/>
            </w:pPr>
            <w:r/>
            <w:r>
              <w:rPr>
                <w:rFonts w:eastAsia="FangSong" w:ascii="Times New Roman" w:hAnsi="Times New Roman"/>
                <w:color w:val="4B5563"/>
                <w:sz w:val="18"/>
              </w:rPr>
              <w:t>32.08</w:t>
            </w:r>
          </w:p>
        </w:tc>
        <w:tc>
          <w:tcPr>
            <w:tcW w:type="dxa" w:w="2929"/>
          </w:tcPr>
          <w:p>
            <w:pPr>
              <w:jc w:val="right"/>
            </w:pPr>
            <w:r/>
            <w:r>
              <w:rPr>
                <w:rFonts w:eastAsia="FangSong" w:ascii="Times New Roman" w:hAnsi="Times New Roman"/>
                <w:color w:val="4B5563"/>
                <w:sz w:val="18"/>
              </w:rPr>
              <w:t>—</w:t>
            </w:r>
          </w:p>
        </w:tc>
      </w:tr>
      <w:tr>
        <w:tc>
          <w:tcPr>
            <w:tcW w:type="dxa" w:w="2929"/>
          </w:tcPr>
          <w:p>
            <w:pPr>
              <w:jc w:val="left"/>
            </w:pPr>
            <w:r/>
            <w:r>
              <w:rPr>
                <w:rFonts w:eastAsia="FangSong" w:ascii="Times New Roman" w:hAnsi="Times New Roman"/>
                <w:color w:val="4B5563"/>
                <w:sz w:val="18"/>
              </w:rPr>
              <w:t>偿债备付率 DSCR</w:t>
            </w:r>
          </w:p>
        </w:tc>
        <w:tc>
          <w:tcPr>
            <w:tcW w:type="dxa" w:w="2929"/>
          </w:tcPr>
          <w:p>
            <w:pPr>
              <w:jc w:val="right"/>
            </w:pPr>
            <w:r/>
            <w:r>
              <w:rPr>
                <w:rFonts w:eastAsia="FangSong" w:ascii="Times New Roman" w:hAnsi="Times New Roman"/>
                <w:color w:val="4B5563"/>
                <w:sz w:val="18"/>
              </w:rPr>
              <w:t>3.70</w:t>
            </w:r>
          </w:p>
        </w:tc>
        <w:tc>
          <w:tcPr>
            <w:tcW w:type="dxa" w:w="2929"/>
          </w:tcPr>
          <w:p>
            <w:pPr>
              <w:jc w:val="right"/>
            </w:pPr>
            <w:r/>
            <w:r>
              <w:rPr>
                <w:rFonts w:eastAsia="FangSong" w:ascii="Times New Roman" w:hAnsi="Times New Roman"/>
                <w:color w:val="4B5563"/>
                <w:sz w:val="18"/>
              </w:rPr>
              <w:t>—</w:t>
            </w:r>
          </w:p>
        </w:tc>
      </w:tr>
      <w:tr>
        <w:tc>
          <w:tcPr>
            <w:tcW w:type="dxa" w:w="2929"/>
          </w:tcPr>
          <w:p>
            <w:pPr>
              <w:jc w:val="left"/>
            </w:pPr>
            <w:r/>
            <w:r>
              <w:rPr>
                <w:rFonts w:eastAsia="FangSong" w:ascii="Times New Roman" w:hAnsi="Times New Roman"/>
                <w:color w:val="4B5563"/>
                <w:sz w:val="18"/>
              </w:rPr>
              <w:t>盈亏平衡点（产能利用率）</w:t>
            </w:r>
          </w:p>
        </w:tc>
        <w:tc>
          <w:tcPr>
            <w:tcW w:type="dxa" w:w="2929"/>
          </w:tcPr>
          <w:p>
            <w:pPr>
              <w:jc w:val="right"/>
            </w:pPr>
            <w:r/>
            <w:r>
              <w:rPr>
                <w:rFonts w:eastAsia="FangSong" w:ascii="Times New Roman" w:hAnsi="Times New Roman"/>
                <w:color w:val="4B5563"/>
                <w:sz w:val="18"/>
              </w:rPr>
              <w:t>50.00%</w:t>
            </w:r>
          </w:p>
        </w:tc>
        <w:tc>
          <w:tcPr>
            <w:tcW w:type="dxa" w:w="2929"/>
          </w:tcPr>
          <w:p>
            <w:pPr>
              <w:jc w:val="right"/>
            </w:pPr>
            <w:r/>
            <w:r>
              <w:rPr>
                <w:rFonts w:eastAsia="FangSong" w:ascii="Times New Roman" w:hAnsi="Times New Roman"/>
                <w:color w:val="4B5563"/>
                <w:sz w:val="18"/>
              </w:rPr>
              <w:t>—</w:t>
            </w:r>
          </w:p>
        </w:tc>
      </w:tr>
    </w:tbl>
    <w:p>
      <w:pPr>
        <w:spacing w:line="560" w:lineRule="exact" w:before="280" w:after="120"/>
      </w:pPr>
      <w:r>
        <w:rPr>
          <w:rFonts w:ascii="Times New Roman" w:hAnsi="Times New Roman" w:eastAsia="KaiTi"/>
          <w:b w:val="0"/>
          <w:color w:val="000000"/>
          <w:sz w:val="32"/>
        </w:rPr>
        <w:t>（三）敏感性分析</w:t>
      </w:r>
    </w:p>
    <w:tbl>
      <w:tblPr>
        <w:tblW w:type="auto" w:w="0"/>
        <w:jc w:val="center"/>
        <w:tblLook w:firstColumn="1" w:firstRow="1" w:lastColumn="0" w:lastRow="0" w:noHBand="0" w:noVBand="1" w:val="04A0"/>
        <w:tblBorders>
          <w:top w:val="single" w:sz="4" w:space="0" w:color="9CA3AF"/>
          <w:left w:val="single" w:sz="4" w:space="0" w:color="9CA3AF"/>
          <w:bottom w:val="single" w:sz="4" w:space="0" w:color="9CA3AF"/>
          <w:right w:val="single" w:sz="4" w:space="0" w:color="9CA3AF"/>
          <w:insideH w:val="single" w:sz="4" w:space="0" w:color="9CA3AF"/>
          <w:insideV w:val="single" w:sz="4" w:space="0" w:color="9CA3AF"/>
        </w:tblBorders>
      </w:tblPr>
      <w:tblGrid>
        <w:gridCol w:w="1465"/>
        <w:gridCol w:w="1465"/>
        <w:gridCol w:w="1465"/>
        <w:gridCol w:w="1465"/>
        <w:gridCol w:w="1465"/>
        <w:gridCol w:w="1465"/>
      </w:tblGrid>
      <w:tr>
        <w:tc>
          <w:tcPr>
            <w:tcW w:type="dxa" w:w="1465"/>
          </w:tcPr>
          <w:p>
            <w:pPr>
              <w:jc w:val="center"/>
            </w:pPr>
            <w:r/>
            <w:r>
              <w:rPr>
                <w:rFonts w:eastAsia="FangSong" w:ascii="Times New Roman" w:hAnsi="Times New Roman"/>
                <w:b/>
                <w:color w:val="111827"/>
                <w:sz w:val="21"/>
              </w:rPr>
              <w:t>变动因素</w:t>
            </w:r>
          </w:p>
        </w:tc>
        <w:tc>
          <w:tcPr>
            <w:tcW w:type="dxa" w:w="1465"/>
          </w:tcPr>
          <w:p>
            <w:pPr>
              <w:jc w:val="center"/>
            </w:pPr>
            <w:r/>
            <w:r>
              <w:rPr>
                <w:rFonts w:eastAsia="FangSong" w:ascii="Times New Roman" w:hAnsi="Times New Roman"/>
                <w:b/>
                <w:color w:val="111827"/>
                <w:sz w:val="21"/>
              </w:rPr>
              <w:t>-10%</w:t>
            </w:r>
          </w:p>
        </w:tc>
        <w:tc>
          <w:tcPr>
            <w:tcW w:type="dxa" w:w="1465"/>
          </w:tcPr>
          <w:p>
            <w:pPr>
              <w:jc w:val="center"/>
            </w:pPr>
            <w:r/>
            <w:r>
              <w:rPr>
                <w:rFonts w:eastAsia="FangSong" w:ascii="Times New Roman" w:hAnsi="Times New Roman"/>
                <w:b/>
                <w:color w:val="111827"/>
                <w:sz w:val="21"/>
              </w:rPr>
              <w:t>-5%</w:t>
            </w:r>
          </w:p>
        </w:tc>
        <w:tc>
          <w:tcPr>
            <w:tcW w:type="dxa" w:w="1465"/>
          </w:tcPr>
          <w:p>
            <w:pPr>
              <w:jc w:val="center"/>
            </w:pPr>
            <w:r/>
            <w:r>
              <w:rPr>
                <w:rFonts w:eastAsia="FangSong" w:ascii="Times New Roman" w:hAnsi="Times New Roman"/>
                <w:b/>
                <w:color w:val="111827"/>
                <w:sz w:val="21"/>
              </w:rPr>
              <w:t>基准</w:t>
            </w:r>
          </w:p>
        </w:tc>
        <w:tc>
          <w:tcPr>
            <w:tcW w:type="dxa" w:w="1465"/>
          </w:tcPr>
          <w:p>
            <w:pPr>
              <w:jc w:val="center"/>
            </w:pPr>
            <w:r/>
            <w:r>
              <w:rPr>
                <w:rFonts w:eastAsia="FangSong" w:ascii="Times New Roman" w:hAnsi="Times New Roman"/>
                <w:b/>
                <w:color w:val="111827"/>
                <w:sz w:val="21"/>
              </w:rPr>
              <w:t>+5%</w:t>
            </w:r>
          </w:p>
        </w:tc>
        <w:tc>
          <w:tcPr>
            <w:tcW w:type="dxa" w:w="1465"/>
          </w:tcPr>
          <w:p>
            <w:pPr>
              <w:jc w:val="center"/>
            </w:pPr>
            <w:r/>
            <w:r>
              <w:rPr>
                <w:rFonts w:eastAsia="FangSong" w:ascii="Times New Roman" w:hAnsi="Times New Roman"/>
                <w:b/>
                <w:color w:val="111827"/>
                <w:sz w:val="21"/>
              </w:rPr>
              <w:t>+10%</w:t>
            </w:r>
          </w:p>
        </w:tc>
      </w:tr>
      <w:tr>
        <w:tc>
          <w:tcPr>
            <w:tcW w:type="dxa" w:w="1465"/>
          </w:tcPr>
          <w:p>
            <w:pPr>
              <w:jc w:val="left"/>
            </w:pPr>
            <w:r/>
            <w:r>
              <w:rPr>
                <w:rFonts w:eastAsia="FangSong" w:ascii="Times New Roman" w:hAnsi="Times New Roman"/>
                <w:color w:val="4B5563"/>
                <w:sz w:val="18"/>
              </w:rPr>
              <w:t>营业收入</w:t>
            </w:r>
          </w:p>
        </w:tc>
        <w:tc>
          <w:tcPr>
            <w:tcW w:type="dxa" w:w="1465"/>
          </w:tcPr>
          <w:p>
            <w:pPr>
              <w:jc w:val="right"/>
            </w:pPr>
            <w:r/>
            <w:r>
              <w:rPr>
                <w:rFonts w:eastAsia="FangSong" w:ascii="Times New Roman" w:hAnsi="Times New Roman"/>
                <w:color w:val="4B5563"/>
                <w:sz w:val="18"/>
              </w:rPr>
              <w:t>12.34%</w:t>
            </w:r>
          </w:p>
        </w:tc>
        <w:tc>
          <w:tcPr>
            <w:tcW w:type="dxa" w:w="1465"/>
          </w:tcPr>
          <w:p>
            <w:pPr>
              <w:jc w:val="right"/>
            </w:pPr>
            <w:r/>
            <w:r>
              <w:rPr>
                <w:rFonts w:eastAsia="FangSong" w:ascii="Times New Roman" w:hAnsi="Times New Roman"/>
                <w:color w:val="4B5563"/>
                <w:sz w:val="18"/>
              </w:rPr>
              <w:t>19.30%</w:t>
            </w:r>
          </w:p>
        </w:tc>
        <w:tc>
          <w:tcPr>
            <w:tcW w:type="dxa" w:w="1465"/>
          </w:tcPr>
          <w:p>
            <w:pPr>
              <w:jc w:val="right"/>
            </w:pPr>
            <w:r/>
            <w:r>
              <w:rPr>
                <w:rFonts w:eastAsia="FangSong" w:ascii="Times New Roman" w:hAnsi="Times New Roman"/>
                <w:color w:val="4B5563"/>
                <w:sz w:val="18"/>
              </w:rPr>
              <w:t>25.38%</w:t>
            </w:r>
          </w:p>
        </w:tc>
        <w:tc>
          <w:tcPr>
            <w:tcW w:type="dxa" w:w="1465"/>
          </w:tcPr>
          <w:p>
            <w:pPr>
              <w:jc w:val="right"/>
            </w:pPr>
            <w:r/>
            <w:r>
              <w:rPr>
                <w:rFonts w:eastAsia="FangSong" w:ascii="Times New Roman" w:hAnsi="Times New Roman"/>
                <w:color w:val="4B5563"/>
                <w:sz w:val="18"/>
              </w:rPr>
              <w:t>30.85%</w:t>
            </w:r>
          </w:p>
        </w:tc>
        <w:tc>
          <w:tcPr>
            <w:tcW w:type="dxa" w:w="1465"/>
          </w:tcPr>
          <w:p>
            <w:pPr>
              <w:jc w:val="right"/>
            </w:pPr>
            <w:r/>
            <w:r>
              <w:rPr>
                <w:rFonts w:eastAsia="FangSong" w:ascii="Times New Roman" w:hAnsi="Times New Roman"/>
                <w:color w:val="4B5563"/>
                <w:sz w:val="18"/>
              </w:rPr>
              <w:t>35.89%</w:t>
            </w:r>
          </w:p>
        </w:tc>
      </w:tr>
      <w:tr>
        <w:tc>
          <w:tcPr>
            <w:tcW w:type="dxa" w:w="1465"/>
          </w:tcPr>
          <w:p>
            <w:pPr>
              <w:jc w:val="left"/>
            </w:pPr>
            <w:r/>
            <w:r>
              <w:rPr>
                <w:rFonts w:eastAsia="FangSong" w:ascii="Times New Roman" w:hAnsi="Times New Roman"/>
                <w:color w:val="4B5563"/>
                <w:sz w:val="18"/>
              </w:rPr>
              <w:t>经营成本</w:t>
            </w:r>
          </w:p>
        </w:tc>
        <w:tc>
          <w:tcPr>
            <w:tcW w:type="dxa" w:w="1465"/>
          </w:tcPr>
          <w:p>
            <w:pPr>
              <w:jc w:val="right"/>
            </w:pPr>
            <w:r/>
            <w:r>
              <w:rPr>
                <w:rFonts w:eastAsia="FangSong" w:ascii="Times New Roman" w:hAnsi="Times New Roman"/>
                <w:color w:val="4B5563"/>
                <w:sz w:val="18"/>
              </w:rPr>
              <w:t>33.67%</w:t>
            </w:r>
          </w:p>
        </w:tc>
        <w:tc>
          <w:tcPr>
            <w:tcW w:type="dxa" w:w="1465"/>
          </w:tcPr>
          <w:p>
            <w:pPr>
              <w:jc w:val="right"/>
            </w:pPr>
            <w:r/>
            <w:r>
              <w:rPr>
                <w:rFonts w:eastAsia="FangSong" w:ascii="Times New Roman" w:hAnsi="Times New Roman"/>
                <w:color w:val="4B5563"/>
                <w:sz w:val="18"/>
              </w:rPr>
              <w:t>29.66%</w:t>
            </w:r>
          </w:p>
        </w:tc>
        <w:tc>
          <w:tcPr>
            <w:tcW w:type="dxa" w:w="1465"/>
          </w:tcPr>
          <w:p>
            <w:pPr>
              <w:jc w:val="right"/>
            </w:pPr>
            <w:r/>
            <w:r>
              <w:rPr>
                <w:rFonts w:eastAsia="FangSong" w:ascii="Times New Roman" w:hAnsi="Times New Roman"/>
                <w:color w:val="4B5563"/>
                <w:sz w:val="18"/>
              </w:rPr>
              <w:t>25.38%</w:t>
            </w:r>
          </w:p>
        </w:tc>
        <w:tc>
          <w:tcPr>
            <w:tcW w:type="dxa" w:w="1465"/>
          </w:tcPr>
          <w:p>
            <w:pPr>
              <w:jc w:val="right"/>
            </w:pPr>
            <w:r/>
            <w:r>
              <w:rPr>
                <w:rFonts w:eastAsia="FangSong" w:ascii="Times New Roman" w:hAnsi="Times New Roman"/>
                <w:color w:val="4B5563"/>
                <w:sz w:val="18"/>
              </w:rPr>
              <w:t>20.73%</w:t>
            </w:r>
          </w:p>
        </w:tc>
        <w:tc>
          <w:tcPr>
            <w:tcW w:type="dxa" w:w="1465"/>
          </w:tcPr>
          <w:p>
            <w:pPr>
              <w:jc w:val="right"/>
            </w:pPr>
            <w:r/>
            <w:r>
              <w:rPr>
                <w:rFonts w:eastAsia="FangSong" w:ascii="Times New Roman" w:hAnsi="Times New Roman"/>
                <w:color w:val="4B5563"/>
                <w:sz w:val="18"/>
              </w:rPr>
              <w:t>15.61%</w:t>
            </w:r>
          </w:p>
        </w:tc>
      </w:tr>
      <w:tr>
        <w:tc>
          <w:tcPr>
            <w:tcW w:type="dxa" w:w="1465"/>
          </w:tcPr>
          <w:p>
            <w:pPr>
              <w:jc w:val="left"/>
            </w:pPr>
            <w:r/>
            <w:r>
              <w:rPr>
                <w:rFonts w:eastAsia="FangSong" w:ascii="Times New Roman" w:hAnsi="Times New Roman"/>
                <w:color w:val="4B5563"/>
                <w:sz w:val="18"/>
              </w:rPr>
              <w:t>建设投资</w:t>
            </w:r>
          </w:p>
        </w:tc>
        <w:tc>
          <w:tcPr>
            <w:tcW w:type="dxa" w:w="1465"/>
          </w:tcPr>
          <w:p>
            <w:pPr>
              <w:jc w:val="right"/>
            </w:pPr>
            <w:r/>
            <w:r>
              <w:rPr>
                <w:rFonts w:eastAsia="FangSong" w:ascii="Times New Roman" w:hAnsi="Times New Roman"/>
                <w:color w:val="4B5563"/>
                <w:sz w:val="18"/>
              </w:rPr>
              <w:t>28.21%</w:t>
            </w:r>
          </w:p>
        </w:tc>
        <w:tc>
          <w:tcPr>
            <w:tcW w:type="dxa" w:w="1465"/>
          </w:tcPr>
          <w:p>
            <w:pPr>
              <w:jc w:val="right"/>
            </w:pPr>
            <w:r/>
            <w:r>
              <w:rPr>
                <w:rFonts w:eastAsia="FangSong" w:ascii="Times New Roman" w:hAnsi="Times New Roman"/>
                <w:color w:val="4B5563"/>
                <w:sz w:val="18"/>
              </w:rPr>
              <w:t>26.74%</w:t>
            </w:r>
          </w:p>
        </w:tc>
        <w:tc>
          <w:tcPr>
            <w:tcW w:type="dxa" w:w="1465"/>
          </w:tcPr>
          <w:p>
            <w:pPr>
              <w:jc w:val="right"/>
            </w:pPr>
            <w:r/>
            <w:r>
              <w:rPr>
                <w:rFonts w:eastAsia="FangSong" w:ascii="Times New Roman" w:hAnsi="Times New Roman"/>
                <w:color w:val="4B5563"/>
                <w:sz w:val="18"/>
              </w:rPr>
              <w:t>25.38%</w:t>
            </w:r>
          </w:p>
        </w:tc>
        <w:tc>
          <w:tcPr>
            <w:tcW w:type="dxa" w:w="1465"/>
          </w:tcPr>
          <w:p>
            <w:pPr>
              <w:jc w:val="right"/>
            </w:pPr>
            <w:r/>
            <w:r>
              <w:rPr>
                <w:rFonts w:eastAsia="FangSong" w:ascii="Times New Roman" w:hAnsi="Times New Roman"/>
                <w:color w:val="4B5563"/>
                <w:sz w:val="18"/>
              </w:rPr>
              <w:t>24.11%</w:t>
            </w:r>
          </w:p>
        </w:tc>
        <w:tc>
          <w:tcPr>
            <w:tcW w:type="dxa" w:w="1465"/>
          </w:tcPr>
          <w:p>
            <w:pPr>
              <w:jc w:val="right"/>
            </w:pPr>
            <w:r/>
            <w:r>
              <w:rPr>
                <w:rFonts w:eastAsia="FangSong" w:ascii="Times New Roman" w:hAnsi="Times New Roman"/>
                <w:color w:val="4B5563"/>
                <w:sz w:val="18"/>
              </w:rPr>
              <w:t>22.93%</w:t>
            </w:r>
          </w:p>
        </w:tc>
      </w:tr>
    </w:tbl>
    <w:p>
      <w:r>
        <w:rPr>
          <w:rFonts w:eastAsia="FangSong" w:ascii="Times New Roman" w:hAnsi="Times New Roman"/>
          <w:color w:val="9CA3AF"/>
          <w:sz w:val="16"/>
        </w:rPr>
        <w:t>表中数值为对应因素单独变动时的项目财务内部收益率（税前）测算值。</w:t>
      </w:r>
    </w:p>
    <w:p>
      <w:pPr>
        <w:spacing w:line="560" w:lineRule="exact" w:before="160" w:after="0"/>
      </w:pPr>
      <w:r>
        <w:rPr>
          <w:rFonts w:ascii="Times New Roman" w:hAnsi="Times New Roman" w:eastAsia="FangSong"/>
          <w:b w:val="0"/>
          <w:color w:val="000000"/>
          <w:sz w:val="26"/>
        </w:rPr>
        <w:t>注：以上为测算值，采用全投资现金流模型（《建设项目经济评价方法与参数》第三版）。测算假设：项目总投资 50,000.00 万元；建设期 2 年；运营期 10 年；达产年营业收入 80,000.00 万元；达产年总成本 62,000.00 万元；所得税率 25%；基准折现率 8.0%。</w:t>
      </w:r>
    </w:p>
    <w:p>
      <w:pPr>
        <w:spacing w:line="560" w:lineRule="exact" w:before="520" w:after="200"/>
      </w:pPr>
      <w:r>
        <w:rPr>
          <w:rFonts w:ascii="Times New Roman" w:hAnsi="Times New Roman" w:eastAsia="SimHei"/>
          <w:b/>
          <w:color w:val="000000"/>
          <w:sz w:val="32"/>
        </w:rPr>
        <w:t>结论意见</w:t>
      </w:r>
    </w:p>
    <w:p>
      <w:pPr>
        <w:spacing w:line="560" w:lineRule="exact" w:before="0" w:after="0"/>
        <w:ind w:firstLine="480"/>
      </w:pPr>
      <w:r>
        <w:rPr>
          <w:rFonts w:ascii="Times New Roman" w:hAnsi="Times New Roman" w:eastAsia="FangSong"/>
          <w:b w:val="0"/>
          <w:color w:val="000000"/>
          <w:sz w:val="32"/>
        </w:rPr>
        <w:t>综上所述，本项目符合国家产业政策导向及地方发展规划，市场前景广阔，技术方案成熟可靠，选址条件优越，环保及安全 measures 完善。财务分析显示项目具有良好的盈利能力和偿债能力，经济效益显著，社会效益良好。项目建设是必要的、可行的，建议尽快批准实施。</w:t>
      </w:r>
    </w:p>
    <w:p>
      <w:pPr>
        <w:spacing w:line="560" w:lineRule="exact" w:before="280" w:after="120"/>
      </w:pPr>
      <w:r>
        <w:rPr>
          <w:rFonts w:ascii="Times New Roman" w:hAnsi="Times New Roman" w:eastAsia="KaiTi"/>
          <w:b w:val="0"/>
          <w:color w:val="000000"/>
          <w:sz w:val="32"/>
        </w:rPr>
        <w:t>前提条件</w:t>
      </w:r>
    </w:p>
    <w:p>
      <w:pPr>
        <w:spacing w:line="560" w:lineRule="exact" w:before="0" w:after="0"/>
        <w:ind w:firstLine="480"/>
      </w:pPr>
      <w:r>
        <w:rPr>
          <w:rFonts w:ascii="Times New Roman" w:hAnsi="Times New Roman" w:eastAsia="FangSong"/>
          <w:b w:val="0"/>
          <w:color w:val="000000"/>
          <w:sz w:val="32"/>
        </w:rPr>
        <w:t>1. 须依法取得项目用地的土地使用权证及规划许可证</w:t>
      </w:r>
    </w:p>
    <w:p>
      <w:pPr>
        <w:spacing w:line="560" w:lineRule="exact" w:before="0" w:after="0"/>
        <w:ind w:firstLine="480"/>
      </w:pPr>
      <w:r>
        <w:rPr>
          <w:rFonts w:ascii="Times New Roman" w:hAnsi="Times New Roman" w:eastAsia="FangSong"/>
          <w:b w:val="0"/>
          <w:color w:val="000000"/>
          <w:sz w:val="32"/>
        </w:rPr>
        <w:t>2. 须完成环境影响评价及安全预评价审批手续</w:t>
      </w:r>
    </w:p>
    <w:p>
      <w:pPr>
        <w:spacing w:line="560" w:lineRule="exact" w:before="0" w:after="0"/>
        <w:ind w:firstLine="480"/>
      </w:pPr>
      <w:r>
        <w:rPr>
          <w:rFonts w:ascii="Times New Roman" w:hAnsi="Times New Roman" w:eastAsia="FangSong"/>
          <w:b w:val="0"/>
          <w:color w:val="000000"/>
          <w:sz w:val="32"/>
        </w:rPr>
        <w:t>3. 银行贷款须在项目开工前落实授信额度，确保资金到位</w:t>
      </w:r>
    </w:p>
    <w:p>
      <w:pPr>
        <w:spacing w:line="560" w:lineRule="exact" w:before="520" w:after="200"/>
      </w:pPr>
      <w:r>
        <w:rPr>
          <w:rFonts w:ascii="Times New Roman" w:hAnsi="Times New Roman" w:eastAsia="SimHei"/>
          <w:b/>
          <w:color w:val="000000"/>
          <w:sz w:val="32"/>
        </w:rPr>
        <w:t>建议</w:t>
      </w:r>
    </w:p>
    <w:p>
      <w:pPr>
        <w:spacing w:line="560" w:lineRule="exact" w:before="0" w:after="0"/>
        <w:ind w:firstLine="480"/>
      </w:pPr>
      <w:r>
        <w:rPr>
          <w:rFonts w:ascii="Times New Roman" w:hAnsi="Times New Roman" w:eastAsia="FangSong"/>
          <w:b w:val="0"/>
          <w:color w:val="000000"/>
          <w:sz w:val="32"/>
        </w:rPr>
        <w:t>1. 建议加快前期手续办理，特别是环评及能评审批，确保项目按期开工。责任主体：项目部；时间节点：开工前3个月完成。</w:t>
      </w:r>
    </w:p>
    <w:p>
      <w:pPr>
        <w:spacing w:line="560" w:lineRule="exact" w:before="0" w:after="0"/>
        <w:ind w:firstLine="480"/>
      </w:pPr>
      <w:r>
        <w:rPr>
          <w:rFonts w:ascii="Times New Roman" w:hAnsi="Times New Roman" w:eastAsia="FangSong"/>
          <w:b w:val="0"/>
          <w:color w:val="000000"/>
          <w:sz w:val="32"/>
        </w:rPr>
        <w:t>2. 建议加强与上游锂盐及磷酸铁供应商的战略合作，建立长期稳定的供应渠道及价格联动机制，规避原材料价格波动风险。责任主体：采购部；时间节点：投产前6个月完成签约。</w:t>
      </w:r>
    </w:p>
    <w:p>
      <w:pPr>
        <w:spacing w:line="560" w:lineRule="exact" w:before="0" w:after="0"/>
        <w:ind w:firstLine="480"/>
      </w:pPr>
      <w:r>
        <w:rPr>
          <w:rFonts w:ascii="Times New Roman" w:hAnsi="Times New Roman" w:eastAsia="FangSong"/>
          <w:b w:val="0"/>
          <w:color w:val="000000"/>
          <w:sz w:val="32"/>
        </w:rPr>
        <w:t>3. 建议加大研发投入，持续优化产品性能，开发高压实、快充型等高附加值产品，提升市场竞争力。责任主体：研发中心；时间节点：持续进行。</w:t>
      </w:r>
    </w:p>
    <w:sectPr w:rsidR="00FC693F" w:rsidRPr="0006063C" w:rsidSect="00034616">
      <w:pgSz w:w="11906" w:h="16838"/>
      <w:pgMar w:top="1417" w:right="1417" w:bottom="1417"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560" w:lineRule="exact"/>
    </w:pPr>
    <w:rPr>
      <w:rFonts w:ascii="Times New Roman" w:hAnsi="Times New Roman"/>
      <w:sz w:val="3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