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560" w:lineRule="exact" w:before="720" w:after="480"/>
        <w:jc w:val="center"/>
      </w:pPr>
      <w:r>
        <w:rPr>
          <w:rFonts w:ascii="Times New Roman" w:hAnsi="Times New Roman" w:eastAsia="SimSun"/>
          <w:b/>
          <w:sz w:val="36"/>
        </w:rPr>
        <w:t>审 计 报 告</w:t>
      </w:r>
    </w:p>
    <w:p>
      <w:pPr>
        <w:spacing w:line="560" w:lineRule="exact" w:before="0" w:after="240"/>
        <w:jc w:val="center"/>
      </w:pPr>
      <w:r>
        <w:rPr>
          <w:rFonts w:ascii="Times New Roman" w:hAnsi="Times New Roman" w:eastAsia="FangSong"/>
          <w:b w:val="0"/>
          <w:sz w:val="32"/>
        </w:rPr>
        <w:t>得若经审字〔2026〕第017号</w:t>
      </w:r>
    </w:p>
    <w:p>
      <w:pPr>
        <w:spacing w:line="560" w:lineRule="exact" w:before="240" w:after="240"/>
      </w:pPr>
      <w:r>
        <w:rPr>
          <w:rFonts w:ascii="Times New Roman" w:hAnsi="Times New Roman" w:eastAsia="FangSong"/>
          <w:b w:val="0"/>
          <w:sz w:val="32"/>
        </w:rPr>
        <w:t>致：温州宏远建设集团有限公司董事会及中共温州市国资委委员会</w:t>
      </w:r>
    </w:p>
    <w:p>
      <w:pPr>
        <w:spacing w:line="560" w:lineRule="exact" w:before="360" w:after="200"/>
      </w:pPr>
      <w:r>
        <w:rPr>
          <w:rFonts w:ascii="Times New Roman" w:hAnsi="Times New Roman" w:eastAsia="SimHei"/>
          <w:b/>
          <w:sz w:val="32"/>
        </w:rPr>
        <w:t>一、审计意见</w:t>
      </w:r>
    </w:p>
    <w:p>
      <w:pPr>
        <w:spacing w:line="560" w:lineRule="exact" w:before="0" w:after="0"/>
        <w:ind w:firstLine="640"/>
        <w:jc w:val="both"/>
      </w:pPr>
      <w:r>
        <w:rPr>
          <w:rFonts w:ascii="Times New Roman" w:hAnsi="Times New Roman" w:eastAsia="FangSong"/>
          <w:b w:val="0"/>
          <w:sz w:val="32"/>
        </w:rPr>
        <w:t>我们认为，张建国同志在2020年1月至2025年12月担任温州宏远建设集团有限公司法定代表人、董事长兼总经理期间，总体上认真履行了国有控股企业主要负责人经济责任。任职期间，公司营业收入由3.5亿元增长至6.8亿元，年均复合增长率达13.9%；累计实现利润总额2.1亿元，国有资产保值增值率124.7%，经营业绩稳步提升。但审计发现，其在部分工程项目招投标管理、应收账款风险管控及重大投资决策程序执行方面存在薄弱环节，相关问题虽未构成对财务报表整体公允性的重大影响，但影响经济责任履行的规范性与有效性。除本报告‘审计发现的主要问题’部分所述事项外，张建国同志任职期间的经济责任履行情况在所有重大方面符合《党政主要领导干部和国有企事业单位主要领导人员经济责任审计规定》（中办发〔2019〕45号）及企业会计准则等相关要求。</w:t>
      </w:r>
    </w:p>
    <w:p>
      <w:pPr>
        <w:spacing w:line="560" w:lineRule="exact" w:before="360" w:after="200"/>
      </w:pPr>
      <w:r>
        <w:rPr>
          <w:rFonts w:ascii="Times New Roman" w:hAnsi="Times New Roman" w:eastAsia="SimHei"/>
          <w:b/>
          <w:sz w:val="32"/>
        </w:rPr>
        <w:t>二、形成审计意见的基础</w:t>
      </w:r>
    </w:p>
    <w:p>
      <w:pPr>
        <w:spacing w:line="560" w:lineRule="exact" w:before="0" w:after="0"/>
        <w:ind w:firstLine="640"/>
        <w:jc w:val="both"/>
      </w:pPr>
      <w:r>
        <w:rPr>
          <w:rFonts w:ascii="Times New Roman" w:hAnsi="Times New Roman" w:eastAsia="FangSong"/>
          <w:b w:val="0"/>
          <w:sz w:val="32"/>
        </w:rPr>
        <w:t>我们按照《中国注册会计师审计准则第1501号——对财务报表形成审计意见和出具审计报告》《党政主要领导干部和国有企事业单位主要领导人员经济责任审计规定》及国家审计准则的相关要求，对宏远建工2020—2025年度财务报表及经济责任履行相关资料实施了审计程序。审计工作包括检查会计记录、合同文件、会议纪要、审批单据等书面证据，对重大工程项目开展现场核查，对应收账款实施函证及期后回款测试，访谈管理层及关键岗位人员，并就重大事项与温州市国资委、公司董事会及纪检监察部门进行了沟通。我们获取的审计证据是充分、适当的，为发表上述审计意见提供了基础。</w:t>
      </w:r>
    </w:p>
    <w:p>
      <w:pPr>
        <w:spacing w:line="560" w:lineRule="exact" w:before="360" w:after="200"/>
      </w:pPr>
      <w:r>
        <w:rPr>
          <w:rFonts w:ascii="Times New Roman" w:hAnsi="Times New Roman" w:eastAsia="SimHei"/>
          <w:b/>
          <w:sz w:val="32"/>
        </w:rPr>
        <w:t>三、关键审计事项</w:t>
      </w:r>
    </w:p>
    <w:p>
      <w:pPr>
        <w:spacing w:line="560" w:lineRule="exact" w:before="0" w:after="0"/>
        <w:ind w:firstLine="640"/>
        <w:jc w:val="both"/>
      </w:pPr>
      <w:r>
        <w:rPr>
          <w:rFonts w:ascii="Times New Roman" w:hAnsi="Times New Roman" w:eastAsia="FangSong"/>
          <w:b w:val="0"/>
          <w:sz w:val="32"/>
        </w:rPr>
        <w:t>关键审计事项是我们根据职业判断，认为对本期经济责任审计最为重要的事项。这些事项的应对以对财务报表整体进行审计并形成审计意见为背景，我们不对这些事项单独发表意见。</w:t>
      </w:r>
    </w:p>
    <w:p>
      <w:pPr>
        <w:spacing w:line="560" w:lineRule="exact" w:before="200" w:after="120"/>
      </w:pPr>
      <w:r>
        <w:rPr>
          <w:rFonts w:ascii="Times New Roman" w:hAnsi="Times New Roman" w:eastAsia="SimHei"/>
          <w:b/>
          <w:sz w:val="32"/>
        </w:rPr>
        <w:t>（一）工程项目招投标合规性</w:t>
      </w:r>
    </w:p>
    <w:p>
      <w:pPr>
        <w:spacing w:line="560" w:lineRule="exact" w:before="0" w:after="0"/>
        <w:ind w:firstLine="640"/>
        <w:jc w:val="both"/>
      </w:pPr>
      <w:r>
        <w:rPr>
          <w:rFonts w:ascii="Times New Roman" w:hAnsi="Times New Roman" w:eastAsia="FangSong"/>
          <w:b w:val="0"/>
          <w:sz w:val="32"/>
        </w:rPr>
        <w:t>宏远建工2020—2025年累计实施施工项目217个，其中12个项目（涉及合同金额人民币4.28亿元，占同期新签合同总额的15.3%）存在招标方式选择不当、评标委员会组成不合规或中标通知书签发延迟等问题（详见审计底稿附录三及财务报表附注十（五））。由于招投标程序直接关系到国有资产安全、公平竞争秩序及廉政风险防控，且涉及金额重大、频次较高，我们将工程项目招投标合规性识别为关键审计事项。</w:t>
      </w:r>
    </w:p>
    <w:p>
      <w:pPr>
        <w:spacing w:line="560" w:lineRule="exact" w:before="120" w:after="120"/>
      </w:pPr>
      <w:r>
        <w:rPr>
          <w:rFonts w:ascii="Times New Roman" w:hAnsi="Times New Roman" w:eastAsia="SimHei"/>
          <w:b/>
          <w:sz w:val="32"/>
        </w:rPr>
        <w:t>我们如何应对该关键审计事项</w:t>
      </w:r>
    </w:p>
    <w:p>
      <w:pPr>
        <w:spacing w:line="560" w:lineRule="exact" w:before="0" w:after="0"/>
        <w:ind w:firstLine="640"/>
        <w:jc w:val="both"/>
      </w:pPr>
      <w:r>
        <w:rPr>
          <w:rFonts w:ascii="Times New Roman" w:hAnsi="Times New Roman" w:eastAsia="FangSong"/>
          <w:b w:val="0"/>
          <w:sz w:val="32"/>
        </w:rPr>
        <w:t>针对上述关键审计事项，我们实施的主要审计程序包括：（1）获取并审阅全部217个项目的招标审批单、招标公告、投标文件、评标报告及中标通知书；（2）对照《招标投标法》《必须招标的工程项目规定》（国家发改委令第16号）及公司《招标采购管理办法》，逐项核查程序合规性；（3）对12个存疑项目开展延伸调查，访谈项目负责人、招标经办人及纪检部门；（4）查阅党委会、总经理办公会会议纪要，核实集体决策执行情况；（5）将问题项目与同期审计署及省审计厅通报的典型违规案例进行比对分析。</w:t>
      </w:r>
    </w:p>
    <w:p>
      <w:pPr>
        <w:spacing w:line="560" w:lineRule="exact" w:before="200" w:after="120"/>
      </w:pPr>
      <w:r>
        <w:rPr>
          <w:rFonts w:ascii="Times New Roman" w:hAnsi="Times New Roman" w:eastAsia="SimHei"/>
          <w:b/>
          <w:sz w:val="32"/>
        </w:rPr>
        <w:t>（二）应收账款账龄结构与坏账风险</w:t>
      </w:r>
    </w:p>
    <w:p>
      <w:pPr>
        <w:spacing w:line="560" w:lineRule="exact" w:before="0" w:after="0"/>
        <w:ind w:firstLine="640"/>
        <w:jc w:val="both"/>
      </w:pPr>
      <w:r>
        <w:rPr>
          <w:rFonts w:ascii="Times New Roman" w:hAnsi="Times New Roman" w:eastAsia="FangSong"/>
          <w:b w:val="0"/>
          <w:sz w:val="32"/>
        </w:rPr>
        <w:t>截至2025年12月31日，宏远建工应收账款账面余额为人民币9.63亿元，其中账龄3年以上余额1.73亿元，占比18.0%（详见财务报表附注五（三））。该部分款项主要源于3个已完工超5年的政府类BT项目，回款进度严重滞后，且未见有效催收机制与风险处置预案。鉴于应收账款规模重大、账龄结构异常且影响持续经营判断与国有资金安全，我们将应收账款账龄结构与坏账风险识别为关键审计事项。</w:t>
      </w:r>
    </w:p>
    <w:p>
      <w:pPr>
        <w:spacing w:line="560" w:lineRule="exact" w:before="120" w:after="120"/>
      </w:pPr>
      <w:r>
        <w:rPr>
          <w:rFonts w:ascii="Times New Roman" w:hAnsi="Times New Roman" w:eastAsia="SimHei"/>
          <w:b/>
          <w:sz w:val="32"/>
        </w:rPr>
        <w:t>我们如何应对该关键审计事项</w:t>
      </w:r>
    </w:p>
    <w:p>
      <w:pPr>
        <w:spacing w:line="560" w:lineRule="exact" w:before="0" w:after="0"/>
        <w:ind w:firstLine="640"/>
        <w:jc w:val="both"/>
      </w:pPr>
      <w:r>
        <w:rPr>
          <w:rFonts w:ascii="Times New Roman" w:hAnsi="Times New Roman" w:eastAsia="FangSong"/>
          <w:b w:val="0"/>
          <w:sz w:val="32"/>
        </w:rPr>
        <w:t>针对上述关键审计事项，我们实施的主要审计程序包括：（1）获取应收账款明细账及账龄分析表，核对总账与明细账一致性；（2）对3年以上应收账款按项目逐笔检查合同付款条款、结算资料、催收记录及法律诉讼进展；（3）向3家主要欠款单位发函询证，并对未回函的8个项目实施替代程序（检查银行流水、监理确认单及政府财政拨款文件）；（4）复核坏账准备计提政策是否符合《企业会计准则第22号——金融工具确认和计量》，重新计算预期信用损失；（5）访谈财务总监、合约法务部负责人，评估催收机制有效性及管理层应对措施。</w:t>
      </w:r>
    </w:p>
    <w:p>
      <w:pPr>
        <w:spacing w:line="560" w:lineRule="exact" w:before="360" w:after="200"/>
      </w:pPr>
      <w:r>
        <w:rPr>
          <w:rFonts w:ascii="Times New Roman" w:hAnsi="Times New Roman" w:eastAsia="SimHei"/>
          <w:b/>
          <w:sz w:val="32"/>
        </w:rPr>
        <w:t>四、其他信息</w:t>
      </w:r>
    </w:p>
    <w:p>
      <w:pPr>
        <w:spacing w:line="560" w:lineRule="exact" w:before="0" w:after="0"/>
        <w:ind w:firstLine="640"/>
        <w:jc w:val="both"/>
      </w:pPr>
      <w:r>
        <w:rPr>
          <w:rFonts w:ascii="Times New Roman" w:hAnsi="Times New Roman" w:eastAsia="FangSong"/>
          <w:b w:val="0"/>
          <w:sz w:val="32"/>
        </w:rPr>
        <w:t>本报告所涉其他信息（包括宏远建工2025年年度工作报告、董事会决议汇编、纪检监察情况通报等）由被审计单位管理层提供并负责。我们对其他信息不发表审计意见，亦不对其真实性、完整性或合规性提供任何保证。在审计过程中，我们已阅读上述其他信息，并将其与审计过程中获取的审计证据进行了核对。除前述强调事项段所载事项外，我们未发现其他信息存在与财务报表或我们所了解的情况存在重大不一致的情形。</w:t>
      </w:r>
    </w:p>
    <w:p>
      <w:pPr>
        <w:spacing w:line="560" w:lineRule="exact" w:before="360" w:after="200"/>
      </w:pPr>
      <w:r>
        <w:rPr>
          <w:rFonts w:ascii="Times New Roman" w:hAnsi="Times New Roman" w:eastAsia="SimHei"/>
          <w:b/>
          <w:sz w:val="32"/>
        </w:rPr>
        <w:t>五、强调事项</w:t>
      </w:r>
    </w:p>
    <w:p>
      <w:pPr>
        <w:spacing w:line="560" w:lineRule="exact" w:before="0" w:after="0"/>
        <w:ind w:firstLine="640"/>
        <w:jc w:val="both"/>
      </w:pPr>
      <w:r>
        <w:rPr>
          <w:rFonts w:ascii="Times New Roman" w:hAnsi="Times New Roman" w:eastAsia="FangSong"/>
          <w:b w:val="0"/>
          <w:sz w:val="32"/>
        </w:rPr>
        <w:t>我们提醒审计报告使用者关注：宏远建工存在个别重大对外投资事项（如2023年对温州智筑科技有限公司增资人民币8,000万元）未经党委会前置研究讨论及董事会正式决议，仅以总经理办公会纪要作为执行依据（详见审计底稿附录六）。该事项虽未导致当期财务报表错报，但违反《关于中央企业在完善公司治理中加强党的领导的意见》及《公司章程》第一百零七条关于‘三重一大’决策程序的规定，属于经济责任履行中的重大程序瑕疵。</w:t>
      </w:r>
    </w:p>
    <w:p>
      <w:pPr>
        <w:spacing w:line="560" w:lineRule="exact" w:before="360" w:after="200"/>
      </w:pPr>
      <w:r>
        <w:rPr>
          <w:rFonts w:ascii="Times New Roman" w:hAnsi="Times New Roman" w:eastAsia="SimHei"/>
          <w:b/>
          <w:sz w:val="32"/>
        </w:rPr>
        <w:t>六、管理层和治理层对财务报表的责任</w:t>
      </w:r>
    </w:p>
    <w:p>
      <w:pPr>
        <w:spacing w:line="560" w:lineRule="exact" w:before="0" w:after="0"/>
        <w:ind w:firstLine="640"/>
        <w:jc w:val="both"/>
      </w:pPr>
      <w:r>
        <w:rPr>
          <w:rFonts w:ascii="Times New Roman" w:hAnsi="Times New Roman" w:eastAsia="FangSong"/>
          <w:b w:val="0"/>
          <w:sz w:val="32"/>
        </w:rPr>
        <w:t>张建国同志作为宏远建工法定代表人、董事长兼总经理，在任职期间承担经济责任主体职责，负责组织编制并确保财务报表按照企业会计准则的规定编制，使其实现公允反映；负责建立健全并有效执行内部控制制度，防范经营风险与廉政风险；负责重大经济决策的合法合规性把关；并对公司持续经营能力作出合理评估，披露与持续经营相关的重大不确定性事项（如适用）。</w:t>
      </w:r>
    </w:p>
    <w:p>
      <w:pPr>
        <w:spacing w:line="560" w:lineRule="exact" w:before="0" w:after="0"/>
        <w:ind w:firstLine="640"/>
        <w:jc w:val="both"/>
      </w:pPr>
      <w:r>
        <w:rPr>
          <w:rFonts w:ascii="Times New Roman" w:hAnsi="Times New Roman" w:eastAsia="FangSong"/>
          <w:b w:val="0"/>
          <w:sz w:val="32"/>
        </w:rPr>
        <w:t>温州宏远建设集团有限公司董事会及中共温州市国资委委员会负责监督宏远建工的财务报告过程、重大经营决策执行情况及主要负责人经济责任履行情况。</w:t>
      </w:r>
    </w:p>
    <w:p>
      <w:pPr>
        <w:spacing w:line="560" w:lineRule="exact" w:before="360" w:after="200"/>
      </w:pPr>
      <w:r>
        <w:rPr>
          <w:rFonts w:ascii="Times New Roman" w:hAnsi="Times New Roman" w:eastAsia="SimHei"/>
          <w:b/>
          <w:sz w:val="32"/>
        </w:rPr>
        <w:t>七、注册会计师对财务报表审计的责任</w:t>
      </w:r>
    </w:p>
    <w:p>
      <w:pPr>
        <w:spacing w:line="560" w:lineRule="exact" w:before="0" w:after="0"/>
        <w:ind w:firstLine="640"/>
        <w:jc w:val="both"/>
      </w:pPr>
      <w:r>
        <w:rPr>
          <w:rFonts w:ascii="Times New Roman" w:hAnsi="Times New Roman" w:eastAsia="FangSong"/>
          <w:b w:val="0"/>
          <w:sz w:val="32"/>
        </w:rPr>
        <w:t>我们的目标是对宏远建工财务报表整体是否不存在由于舞弊或错误导致的重大错报获取合理保证，并对张建国同志任职期间经济责任履行情况发表审计评价意见。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pPr>
        <w:spacing w:line="560" w:lineRule="exact" w:before="0" w:after="0"/>
        <w:ind w:firstLine="640"/>
        <w:jc w:val="both"/>
      </w:pPr>
      <w:r>
        <w:rPr>
          <w:rFonts w:ascii="Times New Roman" w:hAnsi="Times New Roman" w:eastAsia="FangSong"/>
          <w:b w:val="0"/>
          <w:sz w:val="32"/>
        </w:rPr>
        <w:t>在按照审计准则执行审计工作的过程中，我们运用职业判断，并保持职业怀疑。我们也：</w:t>
        <w:b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br/>
        <w:t>（2）了解与审计相关的内部控制，以设计恰当的审计程序，但目的并非对内部控制的有效性发表意见。</w:t>
        <w:br/>
        <w:t>（3）评价管理层选用会计政策的恰当性和作出会计估计及相关披露的合理性。</w:t>
        <w:br/>
        <w:t>（4）对管理层使用持续经营假设的恰当性得出结论。如果我们得出结论认为存在与事项或情况相关的重大不确定性，而该事项或情况可能导致对宏远建工持续经营能力产生重大疑虑，审计准则要求我们在审计报告中提请报表使用者注意财务报表中的相关披露；如果披露不充分，我们应当发表非无保留意见。我们的结论基于截至审计报告日可获得的信息。然而，未来的事项或情况可能导致宏远建工不能持续经营。</w:t>
        <w:br/>
        <w:t>（5）评价财务报表的总体列报、结构和内容（包括披露），并评价财务报表是否公允反映相关交易和事项。</w:t>
        <w:br/>
        <w:t>（6）就经济责任审计特有的履职评价目标，我们还依据《党政主要领导干部和国有企事业单位主要领导人员经济责任审计规定》，对重大决策程序、国有资产管理、廉洁从业等情况实施专项核查，并将核查结果纳入审计评价意见。</w:t>
      </w:r>
    </w:p>
    <w:p>
      <w:pPr>
        <w:spacing w:line="560" w:lineRule="exact" w:before="720" w:after="0"/>
      </w:pPr>
    </w:p>
    <w:p>
      <w:pPr>
        <w:spacing w:line="560" w:lineRule="exact" w:before="0" w:after="120"/>
        <w:jc w:val="right"/>
      </w:pPr>
      <w:r>
        <w:rPr>
          <w:rFonts w:ascii="Times New Roman" w:hAnsi="Times New Roman" w:eastAsia="FangSong"/>
          <w:b w:val="0"/>
          <w:sz w:val="32"/>
        </w:rPr>
        <w:t>得若会计师事务所（特殊普通合伙）（盖章）</w:t>
      </w:r>
    </w:p>
    <w:p>
      <w:pPr>
        <w:spacing w:line="560" w:lineRule="exact" w:before="0" w:after="120"/>
        <w:jc w:val="right"/>
      </w:pPr>
      <w:r>
        <w:rPr>
          <w:rFonts w:ascii="Times New Roman" w:hAnsi="Times New Roman" w:eastAsia="FangSong"/>
          <w:b w:val="0"/>
          <w:sz w:val="32"/>
        </w:rPr>
        <w:t>中国注册会计师：赵志刚</w:t>
      </w:r>
    </w:p>
    <w:p>
      <w:pPr>
        <w:spacing w:line="560" w:lineRule="exact" w:before="0" w:after="120"/>
        <w:jc w:val="right"/>
      </w:pPr>
      <w:r>
        <w:rPr>
          <w:rFonts w:ascii="Times New Roman" w:hAnsi="Times New Roman" w:eastAsia="FangSong"/>
          <w:b w:val="0"/>
          <w:sz w:val="32"/>
        </w:rPr>
        <w:t>中国注册会计师：孙丽娟</w:t>
      </w:r>
    </w:p>
    <w:p>
      <w:pPr>
        <w:spacing w:line="560" w:lineRule="exact" w:before="0" w:after="120"/>
        <w:jc w:val="right"/>
      </w:pPr>
      <w:r>
        <w:rPr>
          <w:rFonts w:ascii="Times New Roman" w:hAnsi="Times New Roman" w:eastAsia="FangSong"/>
          <w:b w:val="0"/>
          <w:sz w:val="32"/>
        </w:rPr>
        <w:t>中国·温州</w:t>
      </w:r>
    </w:p>
    <w:p>
      <w:pPr>
        <w:spacing w:line="560" w:lineRule="exact" w:before="0" w:after="120"/>
        <w:jc w:val="right"/>
      </w:pPr>
      <w:r>
        <w:rPr>
          <w:rFonts w:ascii="Times New Roman" w:hAnsi="Times New Roman" w:eastAsia="FangSong"/>
          <w:b w:val="0"/>
          <w:sz w:val="32"/>
        </w:rPr>
        <w:t>2026年5月15日</w:t>
      </w:r>
    </w:p>
    <w:sectPr w:rsidR="00FC693F" w:rsidRPr="0006063C" w:rsidSect="00034616">
      <w:pgSz w:w="11906" w:h="16838"/>
      <w:pgMar w:top="1417" w:right="1417"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560" w:lineRule="exact" w:before="0" w:after="0"/>
    </w:pPr>
    <w:rPr>
      <w:rFonts w:ascii="Times New Roman" w:hAnsi="Times New Roman" w:eastAsia="FangSong"/>
      <w:sz w:val="3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