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720" w:after="480"/>
        <w:jc w:val="center"/>
      </w:pPr>
      <w:r>
        <w:rPr>
          <w:rFonts w:ascii="Times New Roman" w:hAnsi="Times New Roman" w:eastAsia="SimSun"/>
          <w:b/>
          <w:sz w:val="36"/>
        </w:rPr>
        <w:t>审 计 报 告</w:t>
      </w:r>
    </w:p>
    <w:p>
      <w:pPr>
        <w:spacing w:line="560" w:lineRule="exact" w:before="0" w:after="240"/>
        <w:jc w:val="center"/>
      </w:pPr>
      <w:r>
        <w:rPr>
          <w:rFonts w:ascii="Times New Roman" w:hAnsi="Times New Roman" w:eastAsia="FangSong"/>
          <w:b w:val="0"/>
          <w:sz w:val="32"/>
        </w:rPr>
        <w:t>得若审字〔2026〕第086号</w:t>
      </w:r>
    </w:p>
    <w:p>
      <w:pPr>
        <w:spacing w:line="560" w:lineRule="exact" w:before="240" w:after="240"/>
      </w:pPr>
      <w:r>
        <w:rPr>
          <w:rFonts w:ascii="Times New Roman" w:hAnsi="Times New Roman" w:eastAsia="FangSong"/>
          <w:b w:val="0"/>
          <w:sz w:val="32"/>
        </w:rPr>
        <w:t>致：杭州西湖商业管理有限公司全体股东</w:t>
      </w:r>
    </w:p>
    <w:p>
      <w:pPr>
        <w:spacing w:line="560" w:lineRule="exact" w:before="360" w:after="200"/>
      </w:pPr>
      <w:r>
        <w:rPr>
          <w:rFonts w:ascii="Times New Roman" w:hAnsi="Times New Roman" w:eastAsia="SimHei"/>
          <w:b/>
          <w:sz w:val="32"/>
        </w:rPr>
        <w:t>一、审计意见</w:t>
      </w:r>
    </w:p>
    <w:p>
      <w:pPr>
        <w:spacing w:line="560" w:lineRule="exact" w:before="0" w:after="0"/>
        <w:ind w:firstLine="640"/>
        <w:jc w:val="both"/>
      </w:pPr>
      <w:r>
        <w:rPr>
          <w:rFonts w:ascii="Times New Roman" w:hAnsi="Times New Roman" w:eastAsia="FangSong"/>
          <w:b w:val="0"/>
          <w:sz w:val="32"/>
        </w:rPr>
        <w:t>我们认为，后附的财务报表在所有重大方面按照企业会计准则的规定编制，公允反映了西湖商管2025年12月31日的合并及母公司财务状况以及2025年度的合并及母公司经营成果和现金流量。</w:t>
      </w:r>
    </w:p>
    <w:p>
      <w:pPr>
        <w:spacing w:line="560" w:lineRule="exact" w:before="360" w:after="200"/>
      </w:pPr>
      <w:r>
        <w:rPr>
          <w:rFonts w:ascii="Times New Roman" w:hAnsi="Times New Roman" w:eastAsia="SimHei"/>
          <w:b/>
          <w:sz w:val="32"/>
        </w:rPr>
        <w:t>二、形成审计意见的基础</w:t>
      </w:r>
    </w:p>
    <w:p>
      <w:pPr>
        <w:spacing w:line="560" w:lineRule="exact" w:before="0" w:after="0"/>
        <w:ind w:firstLine="640"/>
        <w:jc w:val="both"/>
      </w:pPr>
      <w:r>
        <w:rPr>
          <w:rFonts w:ascii="Times New Roman" w:hAnsi="Times New Roman" w:eastAsia="FangSong"/>
          <w:b w:val="0"/>
          <w:sz w:val="32"/>
        </w:rPr>
        <w:t>我们按照中国注册会计师审计准则的规定执行了审计工作。审计报告的"注册会计师对财务报表审计的责任"部分进一步阐述了我们在这些准则下的责任。按照中国注册会计师职业道德守则，我们独立于西湖商管，并履行了职业道德方面的其他责任。我们相信，我们获取的审计证据是充分、适当的，为发表审计意见提供了基础。</w:t>
      </w:r>
    </w:p>
    <w:p>
      <w:pPr>
        <w:spacing w:line="560" w:lineRule="exact" w:before="360" w:after="200"/>
      </w:pPr>
      <w:r>
        <w:rPr>
          <w:rFonts w:ascii="Times New Roman" w:hAnsi="Times New Roman" w:eastAsia="SimHei"/>
          <w:b/>
          <w:sz w:val="32"/>
        </w:rPr>
        <w:t>三、关键审计事项</w:t>
      </w:r>
    </w:p>
    <w:p>
      <w:pPr>
        <w:spacing w:line="560" w:lineRule="exact" w:before="0" w:after="0"/>
        <w:ind w:firstLine="640"/>
        <w:jc w:val="both"/>
      </w:pPr>
      <w:r>
        <w:rPr>
          <w:rFonts w:ascii="Times New Roman" w:hAnsi="Times New Roman" w:eastAsia="FangSong"/>
          <w:b w:val="0"/>
          <w:sz w:val="32"/>
        </w:rPr>
        <w:t>关键审计事项是我们根据职业判断，认为对本期财务报表审计最为重要的事项。这些事项的应对以对财务报表整体进行审计并形成审计意见为背景，我们不对这些事项单独发表意见。</w:t>
      </w:r>
    </w:p>
    <w:p>
      <w:pPr>
        <w:spacing w:line="560" w:lineRule="exact" w:before="200" w:after="120"/>
      </w:pPr>
      <w:r>
        <w:rPr>
          <w:rFonts w:ascii="Times New Roman" w:hAnsi="Times New Roman" w:eastAsia="SimHei"/>
          <w:b/>
          <w:sz w:val="32"/>
        </w:rPr>
        <w:t>（一）投资性房地产公允价值计量</w:t>
      </w:r>
    </w:p>
    <w:p>
      <w:pPr>
        <w:spacing w:line="560" w:lineRule="exact" w:before="0" w:after="0"/>
        <w:ind w:firstLine="640"/>
        <w:jc w:val="both"/>
      </w:pPr>
      <w:r>
        <w:rPr>
          <w:rFonts w:ascii="Times New Roman" w:hAnsi="Times New Roman" w:eastAsia="FangSong"/>
          <w:b w:val="0"/>
          <w:sz w:val="32"/>
        </w:rPr>
        <w:t>截至2025年12月31日，西湖商管投资性房地产账面价值为人民币3.80亿元（详见财务报表附注五（十四）），全部采用公允价值模式计量，评估方法为收益法。该等资产系公司持有的大型商业综合体物业，其公允价值计量涉及对未来租金收入、空置率、资本化率及折现率等关键参数的重大估计与判断，且该金额占总资产比例达44.7%，对财务报表具有重大影响。鉴于其金额重大、估值模型复杂且依赖高度主观的假设，我们将投资性房地产公允价值计量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了解和评价管理层对投资性房地产公允价值评估流程及内部控制的设计与运行有效性；（2）获取并复核外部评估机构出具的《投资性房地产公允价值评估报告》，评估其资质、独立性及评估方法的适当性；（3）对收益法中关键参数（如租约期内租金增长率、市场平均空置率、长期租金增长率、税前资本化率及折现率）进行敏感性分析，并与可观察市场数据、历史实际表现及行业惯例进行比较；（4）检查期末已签署租约的条款及执行情况，验证租金收入预测的合理性；（5）将本期评估结果与上期评估结果及实际运营数据进行趋势分析，识别异常波动并执行进一步核查。</w:t>
      </w:r>
    </w:p>
    <w:p>
      <w:pPr>
        <w:spacing w:line="560" w:lineRule="exact" w:before="200" w:after="120"/>
      </w:pPr>
      <w:r>
        <w:rPr>
          <w:rFonts w:ascii="Times New Roman" w:hAnsi="Times New Roman" w:eastAsia="SimHei"/>
          <w:b/>
          <w:sz w:val="32"/>
        </w:rPr>
        <w:t>（二）收入确认</w:t>
      </w:r>
    </w:p>
    <w:p>
      <w:pPr>
        <w:spacing w:line="560" w:lineRule="exact" w:before="0" w:after="0"/>
        <w:ind w:firstLine="640"/>
        <w:jc w:val="both"/>
      </w:pPr>
      <w:r>
        <w:rPr>
          <w:rFonts w:ascii="Times New Roman" w:hAnsi="Times New Roman" w:eastAsia="FangSong"/>
          <w:b w:val="0"/>
          <w:sz w:val="32"/>
        </w:rPr>
        <w:t>西湖商管2025年度确认营业收入人民币3.20亿元（详见财务报表附注五（二十六）），主要来源于商业物业租赁收入。根据企业会计准则第21号——租赁，公司对经营租赁收入采用直线法在租赁期内确认。由于部分租赁合同存在免租期、租金递增条款或业绩分成安排，收入确认时点及金额的判断需管理层对合同实质、履约义务识别及分摊方法作出重大判断。鉴于收入金额重大且涉及重大会计估计，我们将收入确认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了解和评价与租赁收入确认相关的关键内部控制的设计和运行有效性；（2）选取样本检查主要租赁合同，识别是否存在免租期、租金递增、或有租金等特殊条款，并重新计算各期间应确认的租赁收入；（3）对重要租户实施函证程序，确认合同主要条款、实际执行状态及应付租金余额；（4）执行截止性测试，检查资产负债表日前后租赁收入确认的完整性与准确性；（5）将当期租金收入与租赁面积、平均租金单价及出租率等运营指标进行分析性复核，并与上年度及预算数据进行比较；（6）检查是否存在关联方租赁安排，并评估其商业实质及定价公允性。</w:t>
      </w:r>
    </w:p>
    <w:p>
      <w:pPr>
        <w:spacing w:line="560" w:lineRule="exact" w:before="360" w:after="200"/>
      </w:pPr>
      <w:r>
        <w:rPr>
          <w:rFonts w:ascii="Times New Roman" w:hAnsi="Times New Roman" w:eastAsia="SimHei"/>
          <w:b/>
          <w:sz w:val="32"/>
        </w:rPr>
        <w:t>四、其他信息</w:t>
      </w:r>
    </w:p>
    <w:p>
      <w:pPr>
        <w:spacing w:line="560" w:lineRule="exact" w:before="0" w:after="0"/>
        <w:ind w:firstLine="640"/>
        <w:jc w:val="both"/>
      </w:pPr>
      <w:r>
        <w:rPr>
          <w:rFonts w:ascii="Times New Roman" w:hAnsi="Times New Roman" w:eastAsia="FangSong"/>
          <w:b w:val="0"/>
          <w:sz w:val="32"/>
        </w:rPr>
        <w:t>西湖商管管理层对其他信息负责。其他信息包括西湖商管2025年年度报告中涵盖的信息，但不包括财务报表和我们的审计报告。我们对财务报表发表的审计意见不涵盖其他信息，我们也不对其他信息发表任何形式的鉴证结论。结合我们对财务报表的审计，我们的责任是阅读其他信息，在此过程中，考虑其他信息是否与财务报表或我们在审计过程中了解到的情况存在重大不一致或者似乎存在重大错报。基于我们已执行的工作，如果我们确定其他信息存在重大错报，我们应当报告该事实。在这方面，我们无任何事项需要报告。</w:t>
      </w:r>
    </w:p>
    <w:p>
      <w:pPr>
        <w:spacing w:line="560" w:lineRule="exact" w:before="360" w:after="200"/>
      </w:pPr>
      <w:r>
        <w:rPr>
          <w:rFonts w:ascii="Times New Roman" w:hAnsi="Times New Roman" w:eastAsia="SimHei"/>
          <w:b/>
          <w:sz w:val="32"/>
        </w:rPr>
        <w:t>五、管理层和治理层对财务报表的责任</w:t>
      </w:r>
    </w:p>
    <w:p>
      <w:pPr>
        <w:spacing w:line="560" w:lineRule="exact" w:before="0" w:after="0"/>
        <w:ind w:firstLine="640"/>
        <w:jc w:val="both"/>
      </w:pPr>
      <w:r>
        <w:rPr>
          <w:rFonts w:ascii="Times New Roman" w:hAnsi="Times New Roman" w:eastAsia="FangSong"/>
          <w:b w:val="0"/>
          <w:sz w:val="32"/>
        </w:rPr>
        <w:t>管理层负责按照企业会计准则的规定编制财务报表，使其实现公允反映，并设计、执行和维护必要的内部控制，以使财务报表不存在由于舞弊或错误导致的重大错报。在编制财务报表时，管理层负责评估西湖商管的持续经营能力，披露与持续经营相关的事项（如适用），并运用持续经营假设，除非管理层计划清算西湖商管、终止运营或别无其他现实的选择。</w:t>
      </w:r>
    </w:p>
    <w:p>
      <w:pPr>
        <w:spacing w:line="560" w:lineRule="exact" w:before="0" w:after="0"/>
        <w:ind w:firstLine="640"/>
        <w:jc w:val="both"/>
      </w:pPr>
      <w:r>
        <w:rPr>
          <w:rFonts w:ascii="Times New Roman" w:hAnsi="Times New Roman" w:eastAsia="FangSong"/>
          <w:b w:val="0"/>
          <w:sz w:val="32"/>
        </w:rPr>
        <w:t>治理层负责监督西湖商管的财务报告过程。</w:t>
      </w:r>
    </w:p>
    <w:p>
      <w:pPr>
        <w:spacing w:line="560" w:lineRule="exact" w:before="360" w:after="200"/>
      </w:pPr>
      <w:r>
        <w:rPr>
          <w:rFonts w:ascii="Times New Roman" w:hAnsi="Times New Roman" w:eastAsia="SimHei"/>
          <w:b/>
          <w:sz w:val="32"/>
        </w:rPr>
        <w:t>六、注册会计师对财务报表审计的责任</w:t>
      </w:r>
    </w:p>
    <w:p>
      <w:pPr>
        <w:spacing w:line="560" w:lineRule="exact" w:before="0" w:after="0"/>
        <w:ind w:firstLine="640"/>
        <w:jc w:val="both"/>
      </w:pPr>
      <w:r>
        <w:rPr>
          <w:rFonts w:ascii="Times New Roman" w:hAnsi="Times New Roman" w:eastAsia="FangSong"/>
          <w:b w:val="0"/>
          <w:sz w:val="32"/>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560" w:lineRule="exact" w:before="0" w:after="0"/>
        <w:ind w:firstLine="640"/>
        <w:jc w:val="both"/>
      </w:pPr>
      <w:r>
        <w:rPr>
          <w:rFonts w:ascii="Times New Roman" w:hAnsi="Times New Roman" w:eastAsia="FangSong"/>
          <w:b w:val="0"/>
          <w:sz w:val="32"/>
        </w:rPr>
        <w:t>在按照审计准则执行审计工作的过程中，我们运用职业判断，并保持职业怀疑。我们也：</w:t>
        <w:b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br/>
        <w:t>（2）了解与审计相关的内部控制，以设计恰当的审计程序，但目的并非对内部控制的有效性发表意见。</w:t>
        <w:br/>
        <w:t>（3）评价管理层选用会计政策的恰当性和作出会计估计及相关披露的合理性。</w:t>
        <w:br/>
        <w:t>（4）对管理层使用持续经营假设的恰当性得出结论。如果我们得出结论认为存在与事项或情况相关的重大不确定性，而该事项或情况可能导致对西湖商管持续经营能力产生重大疑虑，审计准则要求我们在审计报告中提请报表使用者注意财务报表中的相关披露；如果披露不充分，我们应当发表非无保留意见。我们的结论基于截至审计报告日可获得的信息。然而，未来的事项或情况可能导致西湖商管不能持续经营。</w:t>
        <w:br/>
        <w:t>（5）评价财务报表的总体列报、结构和内容（包括披露），并评价财务报表是否公允反映相关交易和事项。</w:t>
        <w:br/>
        <w:t>（6）就集团财务信息执行审计工作获取充分、适当的审计证据，以对合并财务报表发表审计意见。我们负责指导、监督和执行集团审计，并对审计意见承担全部责任。</w:t>
      </w:r>
    </w:p>
    <w:p>
      <w:pPr>
        <w:spacing w:line="560" w:lineRule="exact" w:before="0" w:after="0"/>
        <w:ind w:firstLine="640"/>
        <w:jc w:val="both"/>
      </w:pPr>
      <w:r>
        <w:rPr>
          <w:rFonts w:ascii="Times New Roman" w:hAnsi="Times New Roman" w:eastAsia="FangSong"/>
          <w:b w:val="0"/>
          <w:sz w:val="32"/>
        </w:rPr>
        <w:t>我们与治理层就计划的审计范围、时间安排和重大审计发现等事项进行沟通，包括沟通我们在审计中识别出的值得关注的内部控制缺陷。</w:t>
      </w:r>
    </w:p>
    <w:p>
      <w:pPr>
        <w:spacing w:line="560" w:lineRule="exact" w:before="0" w:after="0"/>
        <w:ind w:firstLine="640"/>
        <w:jc w:val="both"/>
      </w:pPr>
      <w:r>
        <w:rPr>
          <w:rFonts w:ascii="Times New Roman" w:hAnsi="Times New Roman" w:eastAsia="FangSong"/>
          <w:b w:val="0"/>
          <w:sz w:val="32"/>
        </w:rPr>
        <w:t>我们还向治理层提供了我们已遵守与独立性相关的职业道德要求的声明，并与治理层沟通所有可能被合理认为影响我们独立性的关系和其他事项，以及相关的防范措施（如适用）。</w:t>
      </w:r>
    </w:p>
    <w:p>
      <w:pPr>
        <w:spacing w:line="560" w:lineRule="exact" w:before="0" w:after="0"/>
        <w:ind w:firstLine="640"/>
        <w:jc w:val="both"/>
      </w:pPr>
      <w:r>
        <w:rPr>
          <w:rFonts w:ascii="Times New Roman" w:hAnsi="Times New Roman" w:eastAsia="FangSong"/>
          <w:b w:val="0"/>
          <w:sz w:val="32"/>
        </w:rPr>
        <w:t>从与治理层沟通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pPr>
        <w:spacing w:line="560" w:lineRule="exact" w:before="720" w:after="0"/>
      </w:pPr>
    </w:p>
    <w:p>
      <w:pPr>
        <w:spacing w:line="560" w:lineRule="exact" w:before="0" w:after="120"/>
        <w:jc w:val="right"/>
      </w:pPr>
      <w:r>
        <w:rPr>
          <w:rFonts w:ascii="Times New Roman" w:hAnsi="Times New Roman" w:eastAsia="FangSong"/>
          <w:b w:val="0"/>
          <w:sz w:val="32"/>
        </w:rPr>
        <w:t>得若会计师事务所（特殊普通合伙）（盖章）</w:t>
      </w:r>
    </w:p>
    <w:p>
      <w:pPr>
        <w:spacing w:line="560" w:lineRule="exact" w:before="0" w:after="120"/>
        <w:jc w:val="right"/>
      </w:pPr>
      <w:r>
        <w:rPr>
          <w:rFonts w:ascii="Times New Roman" w:hAnsi="Times New Roman" w:eastAsia="FangSong"/>
          <w:b w:val="0"/>
          <w:sz w:val="32"/>
        </w:rPr>
        <w:t>中国注册会计师：陈思远</w:t>
      </w:r>
    </w:p>
    <w:p>
      <w:pPr>
        <w:spacing w:line="560" w:lineRule="exact" w:before="0" w:after="120"/>
        <w:jc w:val="right"/>
      </w:pPr>
      <w:r>
        <w:rPr>
          <w:rFonts w:ascii="Times New Roman" w:hAnsi="Times New Roman" w:eastAsia="FangSong"/>
          <w:b w:val="0"/>
          <w:sz w:val="32"/>
        </w:rPr>
        <w:t>中国注册会计师：周明慧</w:t>
      </w:r>
    </w:p>
    <w:p>
      <w:pPr>
        <w:spacing w:line="560" w:lineRule="exact" w:before="0" w:after="120"/>
        <w:jc w:val="right"/>
      </w:pPr>
      <w:r>
        <w:rPr>
          <w:rFonts w:ascii="Times New Roman" w:hAnsi="Times New Roman" w:eastAsia="FangSong"/>
          <w:b w:val="0"/>
          <w:sz w:val="32"/>
        </w:rPr>
        <w:t>中国·杭州</w:t>
      </w:r>
    </w:p>
    <w:p>
      <w:pPr>
        <w:spacing w:line="560" w:lineRule="exact" w:before="0" w:after="120"/>
        <w:jc w:val="right"/>
      </w:pPr>
      <w:r>
        <w:rPr>
          <w:rFonts w:ascii="Times New Roman" w:hAnsi="Times New Roman" w:eastAsia="FangSong"/>
          <w:b w:val="0"/>
          <w:sz w:val="32"/>
        </w:rPr>
        <w:t>2026年3月20日</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