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before="720" w:after="480"/>
        <w:jc w:val="center"/>
      </w:pPr>
      <w:r>
        <w:rPr>
          <w:rFonts w:ascii="Times New Roman" w:hAnsi="Times New Roman" w:eastAsia="SimSun"/>
          <w:b/>
          <w:sz w:val="36"/>
        </w:rPr>
        <w:t>审 计 报 告</w:t>
      </w:r>
    </w:p>
    <w:p>
      <w:pPr>
        <w:spacing w:line="560" w:lineRule="exact" w:before="0" w:after="240"/>
        <w:jc w:val="center"/>
      </w:pPr>
      <w:r>
        <w:rPr>
          <w:rFonts w:ascii="Times New Roman" w:hAnsi="Times New Roman" w:eastAsia="FangSong"/>
          <w:b w:val="0"/>
          <w:sz w:val="32"/>
        </w:rPr>
        <w:t>得若专审字〔2026〕第031号</w:t>
      </w:r>
    </w:p>
    <w:p>
      <w:pPr>
        <w:spacing w:line="560" w:lineRule="exact" w:before="240" w:after="240"/>
      </w:pPr>
      <w:r>
        <w:rPr>
          <w:rFonts w:ascii="Times New Roman" w:hAnsi="Times New Roman" w:eastAsia="FangSong"/>
          <w:b w:val="0"/>
          <w:sz w:val="32"/>
        </w:rPr>
        <w:t>致：杭州云栖智能科技有限公司全体股东</w:t>
      </w:r>
    </w:p>
    <w:p>
      <w:pPr>
        <w:spacing w:line="560" w:lineRule="exact" w:before="360" w:after="200"/>
      </w:pPr>
      <w:r>
        <w:rPr>
          <w:rFonts w:ascii="Times New Roman" w:hAnsi="Times New Roman" w:eastAsia="SimHei"/>
          <w:b/>
          <w:sz w:val="32"/>
        </w:rPr>
        <w:t>一、审计意见</w:t>
      </w:r>
    </w:p>
    <w:p>
      <w:pPr>
        <w:spacing w:line="560" w:lineRule="exact" w:before="0" w:after="0"/>
        <w:ind w:firstLine="640"/>
        <w:jc w:val="both"/>
      </w:pPr>
      <w:r>
        <w:rPr>
          <w:rFonts w:ascii="Times New Roman" w:hAnsi="Times New Roman" w:eastAsia="FangSong"/>
          <w:b w:val="0"/>
          <w:sz w:val="32"/>
        </w:rPr>
        <w:t>我们认为，云栖智能2025年度研发费用的归集范围、核算方法及列报方式，在所有重大方面符合上述适用的研发费用加计扣除政策及相关会计准则的规定，所归集的研发费用总额人民币1,200万元真实、准确、完整，可作为企业享受研发费用税前加计扣除政策的依据。</w:t>
      </w:r>
    </w:p>
    <w:p>
      <w:pPr>
        <w:spacing w:line="560" w:lineRule="exact" w:before="360" w:after="200"/>
      </w:pPr>
      <w:r>
        <w:rPr>
          <w:rFonts w:ascii="Times New Roman" w:hAnsi="Times New Roman" w:eastAsia="SimHei"/>
          <w:b/>
          <w:sz w:val="32"/>
        </w:rPr>
        <w:t>二、形成审计意见的基础</w:t>
      </w:r>
    </w:p>
    <w:p>
      <w:pPr>
        <w:spacing w:line="560" w:lineRule="exact" w:before="0" w:after="0"/>
        <w:ind w:firstLine="640"/>
        <w:jc w:val="both"/>
      </w:pPr>
      <w:r>
        <w:rPr>
          <w:rFonts w:ascii="Times New Roman" w:hAnsi="Times New Roman" w:eastAsia="FangSong"/>
          <w:b w:val="0"/>
          <w:sz w:val="32"/>
        </w:rPr>
        <w:t>我们按照《中国注册会计师其他鉴证业务准则第3101号——历史财务信息审计或审阅以外的鉴证业务》《中国注册会计师审计准则第1101号——注册会计师的总体目标和审计工作的基本要求》及《高新技术企业认定管理工作指引》中关于研发费用专项审计的相关要求执行了审计工作。审计工作包括检查研发项目立项文件、研发人员名册及工时记录、研发领料单、设备使用台账、费用分摊计算表、研发费用辅助账及纳税申报资料等；对研发费用各构成项目实施细节测试、截止性测试及分析性复核；评价研发活动的技术先进性与实质性、费用归集的合规性与准确性；并就关键判断事项与管理层及税务顾问进行了讨论。我们相信，我们获取的审计证据是充分、适当的，为发表审计意见提供了基础。</w:t>
      </w:r>
    </w:p>
    <w:p>
      <w:pPr>
        <w:spacing w:line="560" w:lineRule="exact" w:before="360" w:after="200"/>
      </w:pPr>
      <w:r>
        <w:rPr>
          <w:rFonts w:ascii="Times New Roman" w:hAnsi="Times New Roman" w:eastAsia="SimHei"/>
          <w:b/>
          <w:sz w:val="32"/>
        </w:rPr>
        <w:t>三、关键审计事项</w:t>
      </w:r>
    </w:p>
    <w:p>
      <w:pPr>
        <w:spacing w:line="560" w:lineRule="exact" w:before="0" w:after="0"/>
        <w:ind w:firstLine="640"/>
        <w:jc w:val="both"/>
      </w:pPr>
      <w:r>
        <w:rPr>
          <w:rFonts w:ascii="Times New Roman" w:hAnsi="Times New Roman" w:eastAsia="FangSong"/>
          <w:b w:val="0"/>
          <w:sz w:val="32"/>
        </w:rPr>
        <w:t>关键审计事项是我们根据职业判断，认为对本期财务报表审计最为重要的事项。这些事项的应对以对财务报表整体进行审计并形成审计意见为背景，我们不对这些事项单独发表意见。</w:t>
      </w:r>
    </w:p>
    <w:p>
      <w:pPr>
        <w:spacing w:line="560" w:lineRule="exact" w:before="200" w:after="120"/>
      </w:pPr>
      <w:r>
        <w:rPr>
          <w:rFonts w:ascii="Times New Roman" w:hAnsi="Times New Roman" w:eastAsia="SimHei"/>
          <w:b/>
          <w:sz w:val="32"/>
        </w:rPr>
        <w:t>（一）研发费用归集范围的合规性</w:t>
      </w:r>
    </w:p>
    <w:p>
      <w:pPr>
        <w:spacing w:line="560" w:lineRule="exact" w:before="0" w:after="0"/>
        <w:ind w:firstLine="640"/>
        <w:jc w:val="both"/>
      </w:pPr>
      <w:r>
        <w:rPr>
          <w:rFonts w:ascii="Times New Roman" w:hAnsi="Times New Roman" w:eastAsia="FangSong"/>
          <w:b w:val="0"/>
          <w:sz w:val="32"/>
        </w:rPr>
        <w:t>云栖智能2025年度归集研发费用人民币1,200万元（详见财务报表附注三（一））。根据财税〔2015〕119号等文件，允许加计扣除的研发费用须限定于人员人工、直接投入、折旧费用、无形资产摊销、新产品设计费、其他相关费用等七类，且须对应于符合规定的研发活动。云栖智能共开展12项AI算法优化及智能语音识别系统开发项目（均已取得科技主管部门项目备案编号），但部分跨部门协作人员工时归属、委外研发费用界定及‘其他相关费用’限额计算存在政策适用复杂性。鉴于研发费用金额重大、政策执行敏感且直接影响税收优惠资格，我们将研发费用归集范围的合规性识别为关键审计事项。</w:t>
      </w:r>
    </w:p>
    <w:p>
      <w:pPr>
        <w:spacing w:line="560" w:lineRule="exact" w:before="120" w:after="120"/>
      </w:pPr>
      <w:r>
        <w:rPr>
          <w:rFonts w:ascii="Times New Roman" w:hAnsi="Times New Roman" w:eastAsia="SimHei"/>
          <w:b/>
          <w:sz w:val="32"/>
        </w:rPr>
        <w:t>我们如何应对该关键审计事项</w:t>
      </w:r>
    </w:p>
    <w:p>
      <w:pPr>
        <w:spacing w:line="560" w:lineRule="exact" w:before="0" w:after="0"/>
        <w:ind w:firstLine="640"/>
        <w:jc w:val="both"/>
      </w:pPr>
      <w:r>
        <w:rPr>
          <w:rFonts w:ascii="Times New Roman" w:hAnsi="Times New Roman" w:eastAsia="FangSong"/>
          <w:b w:val="0"/>
          <w:sz w:val="32"/>
        </w:rPr>
        <w:t>针对上述关键审计事项，我们实施的主要审计程序包括：（1）获取全部研发项目立项书、结题报告及科技主管部门备案文件，逐项评估其是否符合财税〔2015〕119号所定义的‘研发活动’；（2）检查研发人员名册、劳动合同、社保缴纳记录及工时分配表，验证人员人工费用归属的合理性与完整性；（3）查验委外研发合同条款、付款凭证及成果验收文件，确认其是否满足‘委托方不拥有研发成果所有权’等政策条件；（4）复核‘其他相关费用’（含技术图书资料费、专家咨询费等）占研发总费用比例是否不超过10%，并重新计算限额；（5）访谈研发部门负责人及财务负责人，了解费用归集流程及内部控制执行情况；（6）将研发费用辅助账与企业所得税纳税申报表A107012表进行双向核对。</w:t>
      </w:r>
    </w:p>
    <w:p>
      <w:pPr>
        <w:spacing w:line="560" w:lineRule="exact" w:before="200" w:after="120"/>
      </w:pPr>
      <w:r>
        <w:rPr>
          <w:rFonts w:ascii="Times New Roman" w:hAnsi="Times New Roman" w:eastAsia="SimHei"/>
          <w:b/>
          <w:sz w:val="32"/>
        </w:rPr>
        <w:t>（二）研发费用资本化与费用化的划分</w:t>
      </w:r>
    </w:p>
    <w:p>
      <w:pPr>
        <w:spacing w:line="560" w:lineRule="exact" w:before="0" w:after="0"/>
        <w:ind w:firstLine="640"/>
        <w:jc w:val="both"/>
      </w:pPr>
      <w:r>
        <w:rPr>
          <w:rFonts w:ascii="Times New Roman" w:hAnsi="Times New Roman" w:eastAsia="FangSong"/>
          <w:b w:val="0"/>
          <w:sz w:val="32"/>
        </w:rPr>
        <w:t>云栖智能2025年度未对任何研发支出予以资本化，全部1,200万元均作费用化处理（详见财务报表附注三（一））。根据《企业会计准则第6号——无形资产》，企业内部研究开发项目研究阶段的支出应费用化，开发阶段支出在同时满足技术可行性、意图完成并使用或出售、产生经济利益流入能力等五项条件时方可资本化。云栖智能从事的人工智能软件研发具有高度不确定性，其所有项目均处于探索性研究或应用性开发初期，尚未形成可明确辨认、可单独出售的技术成果。鉴于该划分直接影响研发费用总额的完整性及加计扣除基数，且涉及重大会计政策判断，我们将研发费用资本化与费用化的划分识别为关键审计事项。</w:t>
      </w:r>
    </w:p>
    <w:p>
      <w:pPr>
        <w:spacing w:line="560" w:lineRule="exact" w:before="120" w:after="120"/>
      </w:pPr>
      <w:r>
        <w:rPr>
          <w:rFonts w:ascii="Times New Roman" w:hAnsi="Times New Roman" w:eastAsia="SimHei"/>
          <w:b/>
          <w:sz w:val="32"/>
        </w:rPr>
        <w:t>我们如何应对该关键审计事项</w:t>
      </w:r>
    </w:p>
    <w:p>
      <w:pPr>
        <w:spacing w:line="560" w:lineRule="exact" w:before="0" w:after="0"/>
        <w:ind w:firstLine="640"/>
        <w:jc w:val="both"/>
      </w:pPr>
      <w:r>
        <w:rPr>
          <w:rFonts w:ascii="Times New Roman" w:hAnsi="Times New Roman" w:eastAsia="FangSong"/>
          <w:b w:val="0"/>
          <w:sz w:val="32"/>
        </w:rPr>
        <w:t>针对上述关键审计事项，我们实施的主要审计程序包括：（1）查阅全部研发项目技术文档、阶段性测试报告及第三方检测证明，评估各项目所处阶段（研究/开发）及技术成熟度；（2）复核管理层关于资本化条件不满足的书面声明及支持性证据；（3）访谈首席技术官及研发项目经理，了解项目目标、技术路径及商业化进展；（4）比对同行业可比上市公司研发支出会计政策及实务处理，评估云栖智能费用化处理的合理性；（5）检查是否存在已满足资本化条件但被错误费用化的项目，执行反向测试。</w:t>
      </w:r>
    </w:p>
    <w:p>
      <w:pPr>
        <w:spacing w:line="560" w:lineRule="exact" w:before="360" w:after="200"/>
      </w:pPr>
      <w:r>
        <w:rPr>
          <w:rFonts w:ascii="Times New Roman" w:hAnsi="Times New Roman" w:eastAsia="SimHei"/>
          <w:b/>
          <w:sz w:val="32"/>
        </w:rPr>
        <w:t>四、其他信息</w:t>
      </w:r>
    </w:p>
    <w:p>
      <w:pPr>
        <w:spacing w:line="560" w:lineRule="exact" w:before="0" w:after="0"/>
        <w:ind w:firstLine="640"/>
        <w:jc w:val="both"/>
      </w:pPr>
      <w:r>
        <w:rPr>
          <w:rFonts w:ascii="Times New Roman" w:hAnsi="Times New Roman" w:eastAsia="FangSong"/>
          <w:b w:val="0"/>
          <w:sz w:val="32"/>
        </w:rPr>
        <w:t>本报告系专项审计报告，仅用于云栖智能办理2025年度企业所得税汇算清缴中研发费用加计扣除事项，不适用于其他目的。除本报告所载内容外，我们未对云栖智能2025年度财务报表整体发表审计意见。</w:t>
      </w:r>
    </w:p>
    <w:p>
      <w:pPr>
        <w:spacing w:line="560" w:lineRule="exact" w:before="360" w:after="200"/>
      </w:pPr>
      <w:r>
        <w:rPr>
          <w:rFonts w:ascii="Times New Roman" w:hAnsi="Times New Roman" w:eastAsia="SimHei"/>
          <w:b/>
          <w:sz w:val="32"/>
        </w:rPr>
        <w:t>五、管理层和治理层对财务报表的责任</w:t>
      </w:r>
    </w:p>
    <w:p>
      <w:pPr>
        <w:spacing w:line="560" w:lineRule="exact" w:before="0" w:after="0"/>
        <w:ind w:firstLine="640"/>
        <w:jc w:val="both"/>
      </w:pPr>
      <w:r>
        <w:rPr>
          <w:rFonts w:ascii="Times New Roman" w:hAnsi="Times New Roman" w:eastAsia="FangSong"/>
          <w:b w:val="0"/>
          <w:sz w:val="32"/>
        </w:rPr>
        <w:t>管理层负责按照《企业会计准则》及国家有关研发费用加计扣除的税收法规，对研发活动进行合理界定，建立健全研发费用归集与核算的内部控制制度，准确识别研发项目，规范归集研发费用，并确保研发费用辅助账的真实、完整与合规。在编制研发费用专项说明时，管理层负责评估相关会计政策和税收政策的适用性，并作出恰当的会计估计与披露。</w:t>
      </w:r>
    </w:p>
    <w:p>
      <w:pPr>
        <w:spacing w:line="560" w:lineRule="exact" w:before="0" w:after="0"/>
        <w:ind w:firstLine="640"/>
        <w:jc w:val="both"/>
      </w:pPr>
      <w:r>
        <w:rPr>
          <w:rFonts w:ascii="Times New Roman" w:hAnsi="Times New Roman" w:eastAsia="FangSong"/>
          <w:b w:val="0"/>
          <w:sz w:val="32"/>
        </w:rPr>
        <w:t>治理层负责监督云栖智能的研发管理及财务报告过程，包括监督研发费用归集的合规性、内部控制的有效性以及管理层对税收政策执行的适当性。</w:t>
      </w:r>
    </w:p>
    <w:p>
      <w:pPr>
        <w:spacing w:line="560" w:lineRule="exact" w:before="360" w:after="200"/>
      </w:pPr>
      <w:r>
        <w:rPr>
          <w:rFonts w:ascii="Times New Roman" w:hAnsi="Times New Roman" w:eastAsia="SimHei"/>
          <w:b/>
          <w:sz w:val="32"/>
        </w:rPr>
        <w:t>六、注册会计师对财务报表审计的责任</w:t>
      </w:r>
    </w:p>
    <w:p>
      <w:pPr>
        <w:spacing w:line="560" w:lineRule="exact" w:before="0" w:after="0"/>
        <w:ind w:firstLine="640"/>
        <w:jc w:val="both"/>
      </w:pPr>
      <w:r>
        <w:rPr>
          <w:rFonts w:ascii="Times New Roman" w:hAnsi="Times New Roman" w:eastAsia="FangSong"/>
          <w:b w:val="0"/>
          <w:sz w:val="32"/>
        </w:rPr>
        <w:t>我们的目标是对云栖智能2025年度研发费用归集与核算是否符合相关税收政策及会计准则规定获取合理保证，并出具包含鉴证意见的专项审计报告。合理保证是高水平的保证，但并不能保证按照审计准则执行的审计在某一重大错报存在时总能发现。错报可能由于舞弊或错误导致。如果合理预期错报单独或汇总起来可能影响税务机关对加计扣除资格及金额的认定，则通常认为错报是重大的。</w:t>
      </w:r>
    </w:p>
    <w:p>
      <w:pPr>
        <w:spacing w:line="560" w:lineRule="exact" w:before="0" w:after="0"/>
        <w:ind w:firstLine="640"/>
        <w:jc w:val="both"/>
      </w:pPr>
      <w:r>
        <w:rPr>
          <w:rFonts w:ascii="Times New Roman" w:hAnsi="Times New Roman" w:eastAsia="FangSong"/>
          <w:b w:val="0"/>
          <w:sz w:val="32"/>
        </w:rPr>
        <w:t>在按照审计准则执行审计工作的过程中，我们运用职业判断，并保持职业怀疑。我们也：</w:t>
        <w:br/>
        <w:t>（1）识别和评估由于舞弊或错误导致的研发费用归集与核算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br/>
        <w:t>（2）了解与研发费用归集相关的内部控制，以设计恰当的审计程序，但目的并非对内部控制的有效性发表意见。</w:t>
        <w:br/>
        <w:t>（3）评价管理层选用会计政策和税收政策的恰当性，以及对研发活动性质判断、费用归属划分、限额计算等关键估计的合理性。</w:t>
        <w:br/>
        <w:t>（4）评价研发费用专项说明的总体列报、结构和内容，并评价其是否公允反映相关研发活动及费用归集情况。</w:t>
        <w:br/>
        <w:t>（5）就研发费用专项审计工作获取充分、适当的审计证据，以对研发费用归集的合规性与准确性发表审计意见。我们与治理层就计划的审计范围、时间安排和重大审计发现等事项进行沟通，包括沟通我们在审计中识别出的值得关注的内部控制缺陷。</w:t>
      </w:r>
    </w:p>
    <w:p>
      <w:pPr>
        <w:spacing w:line="560" w:lineRule="exact" w:before="720" w:after="0"/>
      </w:pPr>
    </w:p>
    <w:p>
      <w:pPr>
        <w:spacing w:line="560" w:lineRule="exact" w:before="0" w:after="120"/>
        <w:jc w:val="right"/>
      </w:pPr>
      <w:r>
        <w:rPr>
          <w:rFonts w:ascii="Times New Roman" w:hAnsi="Times New Roman" w:eastAsia="FangSong"/>
          <w:b w:val="0"/>
          <w:sz w:val="32"/>
        </w:rPr>
        <w:t>得若会计师事务所（特殊普通合伙）（盖章）</w:t>
      </w:r>
    </w:p>
    <w:p>
      <w:pPr>
        <w:spacing w:line="560" w:lineRule="exact" w:before="0" w:after="120"/>
        <w:jc w:val="right"/>
      </w:pPr>
      <w:r>
        <w:rPr>
          <w:rFonts w:ascii="Times New Roman" w:hAnsi="Times New Roman" w:eastAsia="FangSong"/>
          <w:b w:val="0"/>
          <w:sz w:val="32"/>
        </w:rPr>
        <w:t>中国注册会计师：张文博</w:t>
      </w:r>
    </w:p>
    <w:p>
      <w:pPr>
        <w:spacing w:line="560" w:lineRule="exact" w:before="0" w:after="120"/>
        <w:jc w:val="right"/>
      </w:pPr>
      <w:r>
        <w:rPr>
          <w:rFonts w:ascii="Times New Roman" w:hAnsi="Times New Roman" w:eastAsia="FangSong"/>
          <w:b w:val="0"/>
          <w:sz w:val="32"/>
        </w:rPr>
        <w:t>中国注册会计师：刘海燕</w:t>
      </w:r>
    </w:p>
    <w:p>
      <w:pPr>
        <w:spacing w:line="560" w:lineRule="exact" w:before="0" w:after="120"/>
        <w:jc w:val="right"/>
      </w:pPr>
      <w:r>
        <w:rPr>
          <w:rFonts w:ascii="Times New Roman" w:hAnsi="Times New Roman" w:eastAsia="FangSong"/>
          <w:b w:val="0"/>
          <w:sz w:val="32"/>
        </w:rPr>
        <w:t>中国·杭州</w:t>
      </w:r>
    </w:p>
    <w:p>
      <w:pPr>
        <w:spacing w:line="560" w:lineRule="exact" w:before="0" w:after="120"/>
        <w:jc w:val="right"/>
      </w:pPr>
      <w:r>
        <w:rPr>
          <w:rFonts w:ascii="Times New Roman" w:hAnsi="Times New Roman" w:eastAsia="FangSong"/>
          <w:b w:val="0"/>
          <w:sz w:val="32"/>
        </w:rPr>
        <w:t>2026年3月20日</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60" w:lineRule="exact" w:before="0" w:after="0"/>
    </w:pPr>
    <w:rPr>
      <w:rFonts w:ascii="Times New Roman" w:hAnsi="Times New Roman" w:eastAsia="FangSong"/>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