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720" w:after="480"/>
        <w:jc w:val="center"/>
      </w:pPr>
      <w:r>
        <w:rPr>
          <w:rFonts w:ascii="Times New Roman" w:hAnsi="Times New Roman" w:eastAsia="SimSun"/>
          <w:b/>
          <w:sz w:val="36"/>
        </w:rPr>
        <w:t>审 计 报 告</w:t>
      </w:r>
    </w:p>
    <w:p>
      <w:pPr>
        <w:spacing w:line="560" w:lineRule="exact" w:before="0" w:after="240"/>
        <w:jc w:val="center"/>
      </w:pPr>
      <w:r>
        <w:rPr>
          <w:rFonts w:ascii="Times New Roman" w:hAnsi="Times New Roman" w:eastAsia="FangSong"/>
          <w:b w:val="0"/>
          <w:sz w:val="32"/>
        </w:rPr>
        <w:t>得若审字〔2026〕第092号</w:t>
      </w:r>
    </w:p>
    <w:p>
      <w:pPr>
        <w:spacing w:line="560" w:lineRule="exact" w:before="240" w:after="240"/>
      </w:pPr>
      <w:r>
        <w:rPr>
          <w:rFonts w:ascii="Times New Roman" w:hAnsi="Times New Roman" w:eastAsia="FangSong"/>
          <w:b w:val="0"/>
          <w:sz w:val="32"/>
        </w:rPr>
        <w:t>致：宁波恒达精密制造股份有限公司全体股东</w:t>
      </w:r>
    </w:p>
    <w:p>
      <w:pPr>
        <w:spacing w:line="560" w:lineRule="exact" w:before="360" w:after="200"/>
      </w:pPr>
      <w:r>
        <w:rPr>
          <w:rFonts w:ascii="Times New Roman" w:hAnsi="Times New Roman" w:eastAsia="SimHei"/>
          <w:b/>
          <w:sz w:val="32"/>
        </w:rPr>
        <w:t>一、审计意见</w:t>
      </w:r>
    </w:p>
    <w:p>
      <w:pPr>
        <w:spacing w:line="560" w:lineRule="exact" w:before="0" w:after="0"/>
        <w:ind w:firstLine="640"/>
        <w:jc w:val="both"/>
      </w:pPr>
      <w:r>
        <w:rPr>
          <w:rFonts w:ascii="Times New Roman" w:hAnsi="Times New Roman" w:eastAsia="FangSong"/>
          <w:b w:val="0"/>
          <w:sz w:val="32"/>
        </w:rPr>
        <w:t>我们认为，除'形成保留意见的基础'部分所述事项的可能影响外，后附的财务报表在所有重大方面按照企业会计准则的规定编制，公允反映了恒达精密2025年12月31日的合并及母公司财务状况以及2025年度的合并及母公司经营成果和现金流量。</w:t>
      </w:r>
    </w:p>
    <w:p>
      <w:pPr>
        <w:spacing w:line="560" w:lineRule="exact" w:before="360" w:after="200"/>
      </w:pPr>
      <w:r>
        <w:rPr>
          <w:rFonts w:ascii="Times New Roman" w:hAnsi="Times New Roman" w:eastAsia="SimHei"/>
          <w:b/>
          <w:sz w:val="32"/>
        </w:rPr>
        <w:t>二、形成保留意见的基础</w:t>
      </w:r>
    </w:p>
    <w:p>
      <w:pPr>
        <w:spacing w:line="560" w:lineRule="exact" w:before="0" w:after="0"/>
        <w:ind w:firstLine="640"/>
        <w:jc w:val="both"/>
      </w:pPr>
      <w:r>
        <w:rPr>
          <w:rFonts w:ascii="Times New Roman" w:hAnsi="Times New Roman" w:eastAsia="FangSong"/>
          <w:b w:val="0"/>
          <w:sz w:val="32"/>
        </w:rPr>
        <w:t>如财务报表附注五（七）所述，截至2025年12月31日，恒达精密存放于异地第三方仓储物流中心的存货账面余额为人民币2800万元，占存货总额的25.45%（存货账面余额合计1.1亿元）。由于该等仓库存货地理位置分散、管理权限受限且未获客户及仓储方配合，我们未能实施现场监盘程序，亦无法通过替代程序（如检查出入库单据、期后销售出库记录、获取仓储方确认函等）获取充分、适当的审计证据，以确认该部分存货的存在性、完整性及计价准确性。该事项对财务报表可能产生的影响重大，但不具有广泛性。</w:t>
      </w:r>
    </w:p>
    <w:p>
      <w:pPr>
        <w:spacing w:line="560" w:lineRule="exact" w:before="360" w:after="200"/>
      </w:pPr>
      <w:r>
        <w:rPr>
          <w:rFonts w:ascii="Times New Roman" w:hAnsi="Times New Roman" w:eastAsia="SimHei"/>
          <w:b/>
          <w:sz w:val="32"/>
        </w:rPr>
        <w:t>三、关键审计事项</w:t>
      </w:r>
    </w:p>
    <w:p>
      <w:pPr>
        <w:spacing w:line="560" w:lineRule="exact" w:before="0" w:after="0"/>
        <w:ind w:firstLine="640"/>
        <w:jc w:val="both"/>
      </w:pPr>
      <w:r>
        <w:rPr>
          <w:rFonts w:ascii="Times New Roman" w:hAnsi="Times New Roman" w:eastAsia="FangSong"/>
          <w:b w:val="0"/>
          <w:sz w:val="32"/>
        </w:rPr>
        <w:t>关键审计事项是我们根据职业判断，认为对本期财务报表审计最为重要的事项。这些事项的应对以对财务报表整体进行审计并形成审计意见为背景，我们不对这些事项单独发表意见。</w:t>
      </w:r>
    </w:p>
    <w:p>
      <w:pPr>
        <w:spacing w:line="560" w:lineRule="exact" w:before="200" w:after="120"/>
      </w:pPr>
      <w:r>
        <w:rPr>
          <w:rFonts w:ascii="Times New Roman" w:hAnsi="Times New Roman" w:eastAsia="SimHei"/>
          <w:b/>
          <w:sz w:val="32"/>
        </w:rPr>
        <w:t>（一）收入确认</w:t>
      </w:r>
    </w:p>
    <w:p>
      <w:pPr>
        <w:spacing w:line="560" w:lineRule="exact" w:before="0" w:after="0"/>
        <w:ind w:firstLine="640"/>
        <w:jc w:val="both"/>
      </w:pPr>
      <w:r>
        <w:rPr>
          <w:rFonts w:ascii="Times New Roman" w:hAnsi="Times New Roman" w:eastAsia="FangSong"/>
          <w:b w:val="0"/>
          <w:sz w:val="32"/>
        </w:rPr>
        <w:t>恒达精密于2025年度确认汽车零部件销售收入人民币4.8亿元（详见财务报表附注五（二十六）），占营业收入总额的100%。收入主要来源于向国内整车厂及一级供应商交付制动系统与转向系统零部件，依据合同约定在客户完成验收并签发《收货确认单》或《质量合格证明》时确认收入。客户验收时点的判断涉及重大会计估计与判断，且收入金额重大。我们将收入确认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了解和评价与收入确认相关的关键内部控制的设计和运行有效性；（2）选取样本检查销售合同、发货单、客户签收单、质量验收文件及结算单据，验证收入确认时点是否符合合同条款及会计准则规定；（3）对主要客户实施函证程序，确认当期交易金额、应收账款余额及验收状态；（4）执行截止性测试，检查资产负债表日前后收入确认的准确性；（5）分析收入变动趋势，并与同行业可比公司数据及产销匹配关系进行合理性复核。</w:t>
      </w:r>
    </w:p>
    <w:p>
      <w:pPr>
        <w:spacing w:line="560" w:lineRule="exact" w:before="200" w:after="120"/>
      </w:pPr>
      <w:r>
        <w:rPr>
          <w:rFonts w:ascii="Times New Roman" w:hAnsi="Times New Roman" w:eastAsia="SimHei"/>
          <w:b/>
          <w:sz w:val="32"/>
        </w:rPr>
        <w:t>（二）存货跌价准备的计提</w:t>
      </w:r>
    </w:p>
    <w:p>
      <w:pPr>
        <w:spacing w:line="560" w:lineRule="exact" w:before="0" w:after="0"/>
        <w:ind w:firstLine="640"/>
        <w:jc w:val="both"/>
      </w:pPr>
      <w:r>
        <w:rPr>
          <w:rFonts w:ascii="Times New Roman" w:hAnsi="Times New Roman" w:eastAsia="FangSong"/>
          <w:b w:val="0"/>
          <w:sz w:val="32"/>
        </w:rPr>
        <w:t>截至2025年12月31日，恒达精密存货账面余额为人民币1.1亿元，已计提存货跌价准备人民币850万元（详见财务报表附注五（七））。存货主要为原材料（钢材、铸件）、在产品（机加工半成品）及库存商品（制动卡钳、转向节等），其可变现净值需基于预计售价、至完工时将要发生的成本、销售费用及税费进行估计，涉及对车型生命周期、客户订单稳定性、技术迭代风险等的重大判断。鉴于存货金额重大且跌价准备计量高度依赖管理层估计，我们将存货跌价准备的计提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了解和评价管理层对存货跌价准备计提相关的内部控制设计与执行情况；（2）获取并复核管理层编制的存货跌价准备测算表，检查其对各存货类别可变现净值的估计依据，包括参考近期销售价格、在手订单、未来车型项目终止风险及技术淘汰趋势；（3）对库龄超过12个月的存货执行专项分析，评估其滞销风险及减值迹象；（4）选取样本对主要型号库存商品执行期后销售价格测试，验证其可变现净值估计的合理性；（5）检查存货跌价准备计提的会计处理及财务报表披露的充分性。</w:t>
      </w:r>
    </w:p>
    <w:p>
      <w:pPr>
        <w:spacing w:line="560" w:lineRule="exact" w:before="360" w:after="200"/>
      </w:pPr>
      <w:r>
        <w:rPr>
          <w:rFonts w:ascii="Times New Roman" w:hAnsi="Times New Roman" w:eastAsia="SimHei"/>
          <w:b/>
          <w:sz w:val="32"/>
        </w:rPr>
        <w:t>四、其他信息</w:t>
      </w:r>
    </w:p>
    <w:p>
      <w:pPr>
        <w:spacing w:line="560" w:lineRule="exact" w:before="0" w:after="0"/>
        <w:ind w:firstLine="640"/>
        <w:jc w:val="both"/>
      </w:pPr>
      <w:r>
        <w:rPr>
          <w:rFonts w:ascii="Times New Roman" w:hAnsi="Times New Roman" w:eastAsia="FangSong"/>
          <w:b w:val="0"/>
          <w:sz w:val="32"/>
        </w:rPr>
        <w:t>恒达精密管理层对其他信息负责。其他信息包括恒达精密2025年年度报告中涵盖的信息，但不包括财务报表和我们的审计报告。我们对财务报表发表的审计意见不涵盖其他信息，我们也不对其他信息发表任何形式的鉴证结论。结合我们对财务报表的审计，我们的责任是阅读其他信息，在此过程中，考虑其他信息是否与财务报表或我们在审计过程中了解到的情况存在重大不一致或者似乎存在重大错报。基于我们已执行的工作，如果我们确定其他信息存在重大错报，我们应当报告该事实。在这方面，我们无任何事项需要报告。</w:t>
      </w:r>
    </w:p>
    <w:p>
      <w:pPr>
        <w:spacing w:line="560" w:lineRule="exact" w:before="360" w:after="200"/>
      </w:pPr>
      <w:r>
        <w:rPr>
          <w:rFonts w:ascii="Times New Roman" w:hAnsi="Times New Roman" w:eastAsia="SimHei"/>
          <w:b/>
          <w:sz w:val="32"/>
        </w:rPr>
        <w:t>五、管理层和治理层对财务报表的责任</w:t>
      </w:r>
    </w:p>
    <w:p>
      <w:pPr>
        <w:spacing w:line="560" w:lineRule="exact" w:before="0" w:after="0"/>
        <w:ind w:firstLine="640"/>
        <w:jc w:val="both"/>
      </w:pPr>
      <w:r>
        <w:rPr>
          <w:rFonts w:ascii="Times New Roman" w:hAnsi="Times New Roman" w:eastAsia="FangSong"/>
          <w:b w:val="0"/>
          <w:sz w:val="32"/>
        </w:rPr>
        <w:t>管理层负责按照企业会计准则的规定编制财务报表，使其实现公允反映，并设计、执行和维护必要的内部控制，以使财务报表不存在由于舞弊或错误导致的重大错报。在编制财务报表时，管理层负责评估恒达精密的持续经营能力，披露与持续经营相关的事项（如适用），并运用持续经营假设，除非管理层计划清算恒达精密、终止运营或别无其他现实的选择。</w:t>
      </w:r>
    </w:p>
    <w:p>
      <w:pPr>
        <w:spacing w:line="560" w:lineRule="exact" w:before="0" w:after="0"/>
        <w:ind w:firstLine="640"/>
        <w:jc w:val="both"/>
      </w:pPr>
      <w:r>
        <w:rPr>
          <w:rFonts w:ascii="Times New Roman" w:hAnsi="Times New Roman" w:eastAsia="FangSong"/>
          <w:b w:val="0"/>
          <w:sz w:val="32"/>
        </w:rPr>
        <w:t>治理层负责监督恒达精密的财务报告过程。</w:t>
      </w:r>
    </w:p>
    <w:p>
      <w:pPr>
        <w:spacing w:line="560" w:lineRule="exact" w:before="360" w:after="200"/>
      </w:pPr>
      <w:r>
        <w:rPr>
          <w:rFonts w:ascii="Times New Roman" w:hAnsi="Times New Roman" w:eastAsia="SimHei"/>
          <w:b/>
          <w:sz w:val="32"/>
        </w:rPr>
        <w:t>六、注册会计师对财务报表审计的责任</w:t>
      </w:r>
    </w:p>
    <w:p>
      <w:pPr>
        <w:spacing w:line="560" w:lineRule="exact" w:before="0" w:after="0"/>
        <w:ind w:firstLine="640"/>
        <w:jc w:val="both"/>
      </w:pPr>
      <w:r>
        <w:rPr>
          <w:rFonts w:ascii="Times New Roman" w:hAnsi="Times New Roman" w:eastAsia="FangSong"/>
          <w:b w:val="0"/>
          <w:sz w:val="32"/>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560" w:lineRule="exact" w:before="0" w:after="0"/>
        <w:ind w:firstLine="640"/>
        <w:jc w:val="both"/>
      </w:pPr>
      <w:r>
        <w:rPr>
          <w:rFonts w:ascii="Times New Roman" w:hAnsi="Times New Roman" w:eastAsia="FangSong"/>
          <w:b w:val="0"/>
          <w:sz w:val="32"/>
        </w:rPr>
        <w:t>在按照审计准则执行审计工作的过程中，我们运用职业判断，并保持职业怀疑。我们也：</w:t>
        <w:b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br/>
        <w:t>（2）了解与审计相关的内部控制，以设计恰当的审计程序，但目的并非对内部控制的有效性发表意见。</w:t>
        <w:br/>
        <w:t>（3）评价管理层选用会计政策的恰当性和作出会计估计及相关披露的合理性。</w:t>
        <w:br/>
        <w:t>（4）对管理层使用持续经营假设的恰当性得出结论。如果我们得出结论认为存在与事项或情况相关的重大不确定性，而该事项或情况可能导致对恒达精密持续经营能力产生重大疑虑，审计准则要求我们在审计报告中提请报表使用者注意财务报表中的相关披露；如果披露不充分，我们应当发表非无保留意见。我们的结论基于截至审计报告日可获得的信息。然而，未来的事项或情况可能导致恒达精密不能持续经营。</w:t>
        <w:br/>
        <w:t>（5）评价财务报表的总体列报、结构和内容（包括披露），并评价财务报表是否公允反映相关交易和事项。</w:t>
        <w:br/>
        <w:t>（6）就集团财务信息执行审计工作获取充分、适当的审计证据，以对合并财务报表发表审计意见。我们负责指导、监督和执行集团审计，并对审计意见承担全部责任。</w:t>
      </w:r>
    </w:p>
    <w:p>
      <w:pPr>
        <w:spacing w:line="560" w:lineRule="exact" w:before="0" w:after="0"/>
        <w:ind w:firstLine="640"/>
        <w:jc w:val="both"/>
      </w:pPr>
      <w:r>
        <w:rPr>
          <w:rFonts w:ascii="Times New Roman" w:hAnsi="Times New Roman" w:eastAsia="FangSong"/>
          <w:b w:val="0"/>
          <w:sz w:val="32"/>
        </w:rPr>
        <w:t>我们与治理层就计划的审计范围、时间安排和重大审计发现等事项进行沟通，包括沟通我们在审计中识别出的值得关注的内部控制缺陷。</w:t>
      </w:r>
    </w:p>
    <w:p>
      <w:pPr>
        <w:spacing w:line="560" w:lineRule="exact" w:before="0" w:after="0"/>
        <w:ind w:firstLine="640"/>
        <w:jc w:val="both"/>
      </w:pPr>
      <w:r>
        <w:rPr>
          <w:rFonts w:ascii="Times New Roman" w:hAnsi="Times New Roman" w:eastAsia="FangSong"/>
          <w:b w:val="0"/>
          <w:sz w:val="32"/>
        </w:rPr>
        <w:t>我们还向治理层提供了我们已遵守与独立性相关的职业道德要求的声明，并与治理层沟通所有可能被合理认为影响我们独立性的关系和其他事项，以及相关的防范措施（如适用）。</w:t>
      </w:r>
    </w:p>
    <w:p>
      <w:pPr>
        <w:spacing w:line="560" w:lineRule="exact" w:before="0" w:after="0"/>
        <w:ind w:firstLine="640"/>
        <w:jc w:val="both"/>
      </w:pPr>
      <w:r>
        <w:rPr>
          <w:rFonts w:ascii="Times New Roman" w:hAnsi="Times New Roman" w:eastAsia="FangSong"/>
          <w:b w:val="0"/>
          <w:sz w:val="32"/>
        </w:rPr>
        <w:t>从与治理层沟通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pPr>
        <w:spacing w:line="560" w:lineRule="exact" w:before="720" w:after="0"/>
      </w:pPr>
    </w:p>
    <w:p>
      <w:pPr>
        <w:spacing w:line="560" w:lineRule="exact" w:before="0" w:after="120"/>
        <w:jc w:val="right"/>
      </w:pPr>
      <w:r>
        <w:rPr>
          <w:rFonts w:ascii="Times New Roman" w:hAnsi="Times New Roman" w:eastAsia="FangSong"/>
          <w:b w:val="0"/>
          <w:sz w:val="32"/>
        </w:rPr>
        <w:t>得若会计师事务所（特殊普通合伙）（盖章）</w:t>
      </w:r>
    </w:p>
    <w:p>
      <w:pPr>
        <w:spacing w:line="560" w:lineRule="exact" w:before="0" w:after="120"/>
        <w:jc w:val="right"/>
      </w:pPr>
      <w:r>
        <w:rPr>
          <w:rFonts w:ascii="Times New Roman" w:hAnsi="Times New Roman" w:eastAsia="FangSong"/>
          <w:b w:val="0"/>
          <w:sz w:val="32"/>
        </w:rPr>
        <w:t>中国注册会计师：王建国</w:t>
      </w:r>
    </w:p>
    <w:p>
      <w:pPr>
        <w:spacing w:line="560" w:lineRule="exact" w:before="0" w:after="120"/>
        <w:jc w:val="right"/>
      </w:pPr>
      <w:r>
        <w:rPr>
          <w:rFonts w:ascii="Times New Roman" w:hAnsi="Times New Roman" w:eastAsia="FangSong"/>
          <w:b w:val="0"/>
          <w:sz w:val="32"/>
        </w:rPr>
        <w:t>中国注册会计师：李雪梅</w:t>
      </w:r>
    </w:p>
    <w:p>
      <w:pPr>
        <w:spacing w:line="560" w:lineRule="exact" w:before="0" w:after="120"/>
        <w:jc w:val="right"/>
      </w:pPr>
      <w:r>
        <w:rPr>
          <w:rFonts w:ascii="Times New Roman" w:hAnsi="Times New Roman" w:eastAsia="FangSong"/>
          <w:b w:val="0"/>
          <w:sz w:val="32"/>
        </w:rPr>
        <w:t>中国·宁波</w:t>
      </w:r>
    </w:p>
    <w:p>
      <w:pPr>
        <w:spacing w:line="560" w:lineRule="exact" w:before="0" w:after="120"/>
        <w:jc w:val="right"/>
      </w:pPr>
      <w:r>
        <w:rPr>
          <w:rFonts w:ascii="Times New Roman" w:hAnsi="Times New Roman" w:eastAsia="FangSong"/>
          <w:b w:val="0"/>
          <w:sz w:val="32"/>
        </w:rPr>
        <w:t>2026年4月10日</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