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44"/>
        </w:rPr>
        <w:t>云栖智能科技股份有限公司2025年社会责任报告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 w:val="0"/>
          <w:color w:val="000000"/>
          <w:sz w:val="28"/>
        </w:rPr>
        <w:t>云栖智能科技股份有限公司</w:t>
      </w:r>
    </w:p>
    <w:p>
      <w:r>
        <w:br w:type="page"/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公司简介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公司全称：云栖智能科技股份有限公司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报告期间：2025年1月1日至2025年12月31日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一、关于本报告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本报告是云栖智能科技股份有限公司发布的第四份社会责任报告，依据全球报告倡议组织《GRI 可持续发展报告标准》及《ISO 26000 社会责任指南》核心主题编制，全面客观地反映公司在经济、环境与社会责任方面的理念、实践与绩效。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报告范围涵盖公司及其纳入合并报表范围的子公司，时间范围为2025年1月1日至12月31日，部分内容适当回溯。报告遵循实质性、平衡性、可比性与准确性原则。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二、利益相关方沟通与实质性议题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高度重视与股东、客户、员工、供应商、政府监管部门、社区等利益相关方的沟通。报告期内，公司通过业绩说明会、客户满意度调研、员工座谈、供应商大会等多种渠道收集诉求，并据此识别出研发创新、产品质量与安全、员工权益、绿色生产、商业道德等为本年度实质性议题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三、责任治理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将社会责任融入战略与日常经营，董事会战略委员会统筹可持续发展事宜，管理层设可持续发展工作小组负责具体推进，形成「董事会—管理层—执行部门」三级责任治理架构，确保社会责任管理体系有效运行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四、经济责任与公平运营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报告期内，公司实现营业收入15.68亿元，依法纳税1.86亿元，为社会创造了实在的经济价值。公司坚持诚信合规经营，建立健全反腐败与反商业贿赂制度，报告期内开展反腐败与商业道德培训覆盖全体员工，未发生重大违法违规及商业贿赂事件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五、环境责任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公司践行绿色低碳发展理念，持续推进节能降耗与清洁生产。报告期内厂区光伏发电占用电量的18%，单位产值能耗同比下降6.50%。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环境绩效指标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2025年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2024年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单位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综合能耗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8500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9200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吨标准煤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总用电量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1860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1920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万千瓦时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总用水量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12.6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13.8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万吨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温室气体排放总量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11200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12800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吨CO2e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一般固废回收率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96.5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93.2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%</w:t>
            </w:r>
          </w:p>
        </w:tc>
      </w:tr>
    </w:tbl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六、员工责任与体面工作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公司视员工为最宝贵的财富，依法保障员工合法权益，杜绝任何形式的童工与强迫劳动，坚持平等就业与多元包容。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9CA3AF"/>
          <w:left w:val="single" w:sz="4" w:space="0" w:color="9CA3AF"/>
          <w:bottom w:val="single" w:sz="4" w:space="0" w:color="9CA3AF"/>
          <w:right w:val="single" w:sz="4" w:space="0" w:color="9CA3AF"/>
          <w:insideH w:val="single" w:sz="4" w:space="0" w:color="9CA3AF"/>
          <w:insideV w:val="single" w:sz="4" w:space="0" w:color="9CA3AF"/>
        </w:tblBorders>
      </w:tblPr>
      <w:tblGrid>
        <w:gridCol w:w="2197"/>
        <w:gridCol w:w="2197"/>
        <w:gridCol w:w="2197"/>
        <w:gridCol w:w="2197"/>
      </w:tblGrid>
      <w:tr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员工绩效指标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2025年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2024年</w:t>
            </w:r>
          </w:p>
        </w:tc>
        <w:tc>
          <w:tcPr>
            <w:tcW w:type="dxa" w:w="2197"/>
          </w:tcPr>
          <w:p>
            <w:pPr>
              <w:jc w:val="center"/>
            </w:pPr>
            <w:r/>
            <w:r>
              <w:rPr>
                <w:rFonts w:eastAsia="SimSun" w:ascii="Times New Roman" w:hAnsi="Times New Roman"/>
                <w:b/>
                <w:color w:val="111827"/>
                <w:sz w:val="21"/>
              </w:rPr>
              <w:t>单位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员工总数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1109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968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人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女性员工比例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38.2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36.5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人均培训时长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56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48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小时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员工社保覆盖率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100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100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%</w:t>
            </w:r>
          </w:p>
        </w:tc>
      </w:tr>
      <w:tr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工伤事故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0</w:t>
            </w:r>
          </w:p>
        </w:tc>
        <w:tc>
          <w:tcPr>
            <w:tcW w:type="dxa" w:w="2197"/>
          </w:tcPr>
          <w:p>
            <w:pPr>
              <w:jc w:val="left"/>
            </w:pPr>
            <w:r/>
            <w:r>
              <w:rPr>
                <w:rFonts w:eastAsia="SimSun" w:ascii="Times New Roman" w:hAnsi="Times New Roman"/>
                <w:color w:val="4B5563"/>
                <w:sz w:val="18"/>
              </w:rPr>
              <w:t>起</w:t>
            </w:r>
          </w:p>
        </w:tc>
      </w:tr>
    </w:tbl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报告期内公司投入培训经费318万元，建立了完善的职业发展双通道，员工自愿离职率控制在7.8%的健康水平。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七、人权保障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公司尊重并保护国际公认的人权，在招聘、薪酬、晋升等环节坚持不因性别、民族、宗教信仰等因素歧视；建立畅通的申诉与举报渠道，切实保障员工的知情权、参与权与监督权。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八、产品与消费者责任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公司建立了覆盖研发、生产、交付全流程的质量管理体系并通过ISO 9001认证，报告期内产品一次交检合格率达99.6%，客户满意度达96分。公司严格保护客户数据与隐私，报告期内未发生重大产品质量事故及客户信息泄露事件。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九、供应链社会责任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将社会责任要求纳入供应商准入与考核，要求核心供应商签署《供应商社会责任承诺书》，在环境、劳工、商业道德等方面提出明确要求。报告期内对32家核心供应商开展了社会责任审核，推动供应链可持续发展。</w:t>
      </w:r>
    </w:p>
    <w:p>
      <w:pPr>
        <w:spacing w:before="240" w:after="120"/>
        <w:jc w:val="center"/>
      </w:pPr>
      <w:r>
        <w:rPr>
          <w:rFonts w:eastAsia="SimHei" w:ascii="Times New Roman" w:hAnsi="Times New Roman"/>
          <w:b/>
          <w:color w:val="000000"/>
          <w:sz w:val="32"/>
        </w:rPr>
        <w:t>十、社区参与及公益</w:t>
      </w:r>
    </w:p>
    <w:p>
      <w:pPr>
        <w:spacing w:line="480" w:lineRule="exact"/>
        <w:ind w:firstLine="480"/>
      </w:pPr>
      <w:r>
        <w:rPr>
          <w:rFonts w:eastAsia="SimSun" w:ascii="Times New Roman" w:hAnsi="Times New Roman"/>
          <w:b w:val="0"/>
          <w:color w:val="000000"/>
          <w:sz w:val="24"/>
        </w:rPr>
        <w:t>公司积极回馈社会，报告期内累计公益投入120万元，重点支持乡村教育、科技助学与社区帮扶。公司组织员工志愿服务累计1,800小时，并与两所高校共建实习实训基地，助力青年人才培养。</w:t>
      </w:r>
    </w:p>
    <w:sectPr w:rsidR="00FC693F" w:rsidRPr="0006063C" w:rsidSect="00034616">
      <w:pgSz w:w="11906" w:h="16838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