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44"/>
        </w:rPr>
        <w:t>云栖智能科技股份有限公司2025年环境、社会及管治(ESG)报告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 w:val="0"/>
          <w:color w:val="000000"/>
          <w:sz w:val="28"/>
        </w:rPr>
        <w:t>云栖智能科技股份有限公司</w:t>
      </w:r>
    </w:p>
    <w:p>
      <w:r>
        <w:br w:type="page"/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公司简介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公司全称：云栖智能科技股份有限公司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报告期间：2025年1月1日至2025年12月31日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一、关于本报告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本报告依据香港联合交易所《环境、社会及管治报告指引》（《上市规则》附录二十）编制，并参考国际财务报告可持续披露准则 IFRS S2（气候相关披露）及 GRI 标准。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汇报范围：本报告涵盖公司及其主要附属公司，汇报期间为2025年1月1日至12月31日。报告遵循重要性、量化、平衡及一致性的汇报原则，重要性议题经利益相关方沟通与重要性评估确定。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二、董事会对ESG事宜的监管声明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董事会声明：董事会全面负责本公司的ESG策略及汇报，确认已检视并批准本报告所披露的ESG相关事宜。董事会负责评估及厘定本公司在ESG方面的风险，并对ESG事宜实施监管，确保设立合适及有效的ESG风险管理及内部监控系统。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公司在董事会层面设ESG委员会，统筹ESG目标设定、绩效检讨与进度监管；管理层设ESG工作小组负责日常推进，形成自上而下的ESG管治架构。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三、环境(E)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公司致力于将环境影响降至最低，持续推进减排、节能与资源循环利用。</w:t>
      </w:r>
    </w:p>
    <w:p>
      <w:pPr>
        <w:spacing w:before="240" w:after="120"/>
      </w:pPr>
      <w:r>
        <w:rPr>
          <w:rFonts w:eastAsia="SimHei" w:ascii="Times New Roman" w:hAnsi="Times New Roman"/>
          <w:b/>
          <w:color w:val="000000"/>
          <w:sz w:val="28"/>
        </w:rPr>
        <w:t>层面A1 排放物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公司废气、温室气体及废弃物排放均符合国家及地方标准。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9CA3AF"/>
          <w:left w:val="single" w:sz="4" w:space="0" w:color="9CA3AF"/>
          <w:bottom w:val="single" w:sz="4" w:space="0" w:color="9CA3AF"/>
          <w:right w:val="single" w:sz="4" w:space="0" w:color="9CA3AF"/>
          <w:insideH w:val="single" w:sz="4" w:space="0" w:color="9CA3AF"/>
          <w:insideV w:val="single" w:sz="4" w:space="0" w:color="9CA3AF"/>
        </w:tblBorders>
      </w:tblPr>
      <w:tblGrid>
        <w:gridCol w:w="2197"/>
        <w:gridCol w:w="2197"/>
        <w:gridCol w:w="2197"/>
        <w:gridCol w:w="2197"/>
      </w:tblGrid>
      <w:tr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排放指标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2025年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2024年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单位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温室气体排放总量(范围1+2)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11200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12800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吨CO2e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其中：直接排放(范围1)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2100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2450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吨CO2e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其中：间接排放(范围2)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9100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10350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吨CO2e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有害废弃物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36.5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42.1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吨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无害废弃物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820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905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吨</w:t>
            </w:r>
          </w:p>
        </w:tc>
      </w:tr>
    </w:tbl>
    <w:p>
      <w:pPr>
        <w:spacing w:before="240" w:after="120"/>
      </w:pPr>
      <w:r>
        <w:rPr>
          <w:rFonts w:eastAsia="SimHei" w:ascii="Times New Roman" w:hAnsi="Times New Roman"/>
          <w:b/>
          <w:color w:val="000000"/>
          <w:sz w:val="28"/>
        </w:rPr>
        <w:t>层面A2 资源使用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公司持续提升能源与水资源使用效率，扩大可再生能源比例。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9CA3AF"/>
          <w:left w:val="single" w:sz="4" w:space="0" w:color="9CA3AF"/>
          <w:bottom w:val="single" w:sz="4" w:space="0" w:color="9CA3AF"/>
          <w:right w:val="single" w:sz="4" w:space="0" w:color="9CA3AF"/>
          <w:insideH w:val="single" w:sz="4" w:space="0" w:color="9CA3AF"/>
          <w:insideV w:val="single" w:sz="4" w:space="0" w:color="9CA3AF"/>
        </w:tblBorders>
      </w:tblPr>
      <w:tblGrid>
        <w:gridCol w:w="2197"/>
        <w:gridCol w:w="2197"/>
        <w:gridCol w:w="2197"/>
        <w:gridCol w:w="2197"/>
      </w:tblGrid>
      <w:tr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资源指标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2025年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2024年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单位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综合能耗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8500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9200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吨标准煤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总用电量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1860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1920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万千瓦时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可再生能源用电占比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18.0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11.5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总用水量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12.6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13.8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万吨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包装材料用量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268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295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吨</w:t>
            </w:r>
          </w:p>
        </w:tc>
      </w:tr>
    </w:tbl>
    <w:p>
      <w:pPr>
        <w:spacing w:before="240" w:after="120"/>
      </w:pPr>
      <w:r>
        <w:rPr>
          <w:rFonts w:eastAsia="SimHei" w:ascii="Times New Roman" w:hAnsi="Times New Roman"/>
          <w:b/>
          <w:color w:val="000000"/>
          <w:sz w:val="28"/>
        </w:rPr>
        <w:t>层面A3 环境及天然资源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公司识别生产经营对环境及天然资源的潜在影响，通过工艺优化降低原材料消耗，推行产品轻量化与可循环包装，减少对自然资源的依赖。报告期内未发生环境违法违规事件。</w:t>
      </w:r>
    </w:p>
    <w:p>
      <w:pPr>
        <w:spacing w:before="240" w:after="120"/>
      </w:pPr>
      <w:r>
        <w:rPr>
          <w:rFonts w:eastAsia="SimHei" w:ascii="Times New Roman" w:hAnsi="Times New Roman"/>
          <w:b/>
          <w:color w:val="000000"/>
          <w:sz w:val="28"/>
        </w:rPr>
        <w:t>层面A4 气候变化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公司参照 IFRS S2 识别气候相关风险与机遇。物理风险方面，关注极端天气对供应链与生产的影响；转型风险方面，关注碳价与能效政策。公司已设定2030年单位产值碳排放强度较2025年下降30%的中期目标，并通过光伏改造、能效提升等措施分阶段推进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四、社会(S)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公司坚持以人为本，保障雇员权益，关注健康安全、培训发展与供应链及社区责任。</w:t>
      </w:r>
    </w:p>
    <w:p>
      <w:pPr>
        <w:spacing w:before="240" w:after="120"/>
      </w:pPr>
      <w:r>
        <w:rPr>
          <w:rFonts w:eastAsia="SimHei" w:ascii="Times New Roman" w:hAnsi="Times New Roman"/>
          <w:b/>
          <w:color w:val="000000"/>
          <w:sz w:val="28"/>
        </w:rPr>
        <w:t>层面B1 雇佣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公司依法合规用工，提供具竞争力的薪酬福利与平等的发展机会。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9CA3AF"/>
          <w:left w:val="single" w:sz="4" w:space="0" w:color="9CA3AF"/>
          <w:bottom w:val="single" w:sz="4" w:space="0" w:color="9CA3AF"/>
          <w:right w:val="single" w:sz="4" w:space="0" w:color="9CA3AF"/>
          <w:insideH w:val="single" w:sz="4" w:space="0" w:color="9CA3AF"/>
          <w:insideV w:val="single" w:sz="4" w:space="0" w:color="9CA3AF"/>
        </w:tblBorders>
      </w:tblPr>
      <w:tblGrid>
        <w:gridCol w:w="2197"/>
        <w:gridCol w:w="2197"/>
        <w:gridCol w:w="2197"/>
        <w:gridCol w:w="2197"/>
      </w:tblGrid>
      <w:tr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雇佣指标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2025年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2024年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单位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雇员总数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1109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968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人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女性雇员比例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38.2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36.5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30岁及以下占比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41.0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43.2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雇员自愿流失率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7.8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9.1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%</w:t>
            </w:r>
          </w:p>
        </w:tc>
      </w:tr>
    </w:tbl>
    <w:p>
      <w:pPr>
        <w:spacing w:before="240" w:after="120"/>
      </w:pPr>
      <w:r>
        <w:rPr>
          <w:rFonts w:eastAsia="SimHei" w:ascii="Times New Roman" w:hAnsi="Times New Roman"/>
          <w:b/>
          <w:color w:val="000000"/>
          <w:sz w:val="28"/>
        </w:rPr>
        <w:t>层面B2 健康与安全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公司通过ISO 45001职业健康安全管理体系认证，持续完善安全生产责任制。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9CA3AF"/>
          <w:left w:val="single" w:sz="4" w:space="0" w:color="9CA3AF"/>
          <w:bottom w:val="single" w:sz="4" w:space="0" w:color="9CA3AF"/>
          <w:right w:val="single" w:sz="4" w:space="0" w:color="9CA3AF"/>
          <w:insideH w:val="single" w:sz="4" w:space="0" w:color="9CA3AF"/>
          <w:insideV w:val="single" w:sz="4" w:space="0" w:color="9CA3AF"/>
        </w:tblBorders>
      </w:tblPr>
      <w:tblGrid>
        <w:gridCol w:w="2197"/>
        <w:gridCol w:w="2197"/>
        <w:gridCol w:w="2197"/>
        <w:gridCol w:w="2197"/>
      </w:tblGrid>
      <w:tr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健康安全指标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2025年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2024年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单位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因工死亡人数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人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因工受伤人数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2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人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因工伤损失工作日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12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35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天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安全培训覆盖率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100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100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%</w:t>
            </w:r>
          </w:p>
        </w:tc>
      </w:tr>
    </w:tbl>
    <w:p>
      <w:pPr>
        <w:spacing w:before="240" w:after="120"/>
      </w:pPr>
      <w:r>
        <w:rPr>
          <w:rFonts w:eastAsia="SimHei" w:ascii="Times New Roman" w:hAnsi="Times New Roman"/>
          <w:b/>
          <w:color w:val="000000"/>
          <w:sz w:val="28"/>
        </w:rPr>
        <w:t>层面B3 发展及培训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公司建立分层分类培训体系，为各职级员工提供成长支持。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9CA3AF"/>
          <w:left w:val="single" w:sz="4" w:space="0" w:color="9CA3AF"/>
          <w:bottom w:val="single" w:sz="4" w:space="0" w:color="9CA3AF"/>
          <w:right w:val="single" w:sz="4" w:space="0" w:color="9CA3AF"/>
          <w:insideH w:val="single" w:sz="4" w:space="0" w:color="9CA3AF"/>
          <w:insideV w:val="single" w:sz="4" w:space="0" w:color="9CA3AF"/>
        </w:tblBorders>
      </w:tblPr>
      <w:tblGrid>
        <w:gridCol w:w="2197"/>
        <w:gridCol w:w="2197"/>
        <w:gridCol w:w="2197"/>
        <w:gridCol w:w="2197"/>
      </w:tblGrid>
      <w:tr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培训指标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2025年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2024年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单位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受训雇员百分比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98.5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96.2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人均受训时长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56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48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小时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培训总投入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318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256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万元</w:t>
            </w:r>
          </w:p>
        </w:tc>
      </w:tr>
    </w:tbl>
    <w:p>
      <w:pPr>
        <w:spacing w:before="240" w:after="120"/>
      </w:pPr>
      <w:r>
        <w:rPr>
          <w:rFonts w:eastAsia="SimHei" w:ascii="Times New Roman" w:hAnsi="Times New Roman"/>
          <w:b/>
          <w:color w:val="000000"/>
          <w:sz w:val="28"/>
        </w:rPr>
        <w:t>层面B4 劳工准则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公司严格遵守劳动法律法规，明令禁止雇佣童工及任何形式的强迫劳动，入职环节核验身份与年龄。报告期内未发生违反劳工准则的事件。</w:t>
      </w:r>
    </w:p>
    <w:p>
      <w:pPr>
        <w:spacing w:before="240" w:after="120"/>
      </w:pPr>
      <w:r>
        <w:rPr>
          <w:rFonts w:eastAsia="SimHei" w:ascii="Times New Roman" w:hAnsi="Times New Roman"/>
          <w:b/>
          <w:color w:val="000000"/>
          <w:sz w:val="28"/>
        </w:rPr>
        <w:t>层面B5 供应链管理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公司建立供应商全生命周期管理机制，将环境与社会因素纳入准入与年度评估。报告期内合格供应商共186家，对32家核心供应商开展了ESG现场审核，推动供应链绿色低碳转型。</w:t>
      </w:r>
    </w:p>
    <w:p>
      <w:pPr>
        <w:spacing w:before="240" w:after="120"/>
      </w:pPr>
      <w:r>
        <w:rPr>
          <w:rFonts w:eastAsia="SimHei" w:ascii="Times New Roman" w:hAnsi="Times New Roman"/>
          <w:b/>
          <w:color w:val="000000"/>
          <w:sz w:val="28"/>
        </w:rPr>
        <w:t>层面B6 产品责任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公司严控产品质量与数据安全，通过ISO 9001与ISO 27001认证。报告期内产品一次交检合格率99.6%，客户投诉按时处理率100%，未发生重大产品召回及客户数据泄露事件，已申请并维护知识产权计112项发明专利。</w:t>
      </w:r>
    </w:p>
    <w:p>
      <w:pPr>
        <w:spacing w:before="240" w:after="120"/>
      </w:pPr>
      <w:r>
        <w:rPr>
          <w:rFonts w:eastAsia="SimHei" w:ascii="Times New Roman" w:hAnsi="Times New Roman"/>
          <w:b/>
          <w:color w:val="000000"/>
          <w:sz w:val="28"/>
        </w:rPr>
        <w:t>层面B7 反贪污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公司制定《反舞弊与反商业贿赂管理制度》，设立独立举报渠道。报告期内反贪腐培训覆盖率100%，未发生针对公司或其雇员的贪污诉讼案件。</w:t>
      </w:r>
    </w:p>
    <w:p>
      <w:pPr>
        <w:spacing w:before="240" w:after="120"/>
      </w:pPr>
      <w:r>
        <w:rPr>
          <w:rFonts w:eastAsia="SimHei" w:ascii="Times New Roman" w:hAnsi="Times New Roman"/>
          <w:b/>
          <w:color w:val="000000"/>
          <w:sz w:val="28"/>
        </w:rPr>
        <w:t>层面B8 社区投资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公司聚焦教育与科技公益，报告期内社区公益投入120万元，员工志愿服务1,800小时，重点支持乡村教育信息化与青少年科技教育项目。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五、管治(G)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公司持续完善公司治理与商业道德建设，董事会下设ESG委员会监督可持续发展事宜，建立健全风险管理与内部控制体系，保障信息披露的真实、准确、完整，切实维护各利益相关方合法权益。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六、ESG关键绩效指标索引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本报告各层面关键绩效指标依据港交所ESG指引「不遵守就解释」原则披露，量化指标的统计口径、范围及计算方法在对应章节予以说明，确保数据可比、可追溯。</w:t>
      </w:r>
    </w:p>
    <w:sectPr w:rsidR="00FC693F" w:rsidRPr="0006063C" w:rsidSect="00034616">
      <w:pgSz w:w="11906" w:h="16838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