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before="240" w:after="120"/>
        <w:jc w:val="center"/>
      </w:pPr>
      <w:r>
        <w:rPr>
          <w:rFonts w:eastAsia="SimHei" w:ascii="Times New Roman" w:hAnsi="Times New Roman"/>
          <w:b/>
          <w:color w:val="000000"/>
          <w:sz w:val="44"/>
        </w:rPr>
        <w:t>云栖智能科技股份有限公司2025年年度报告</w:t>
      </w:r>
    </w:p>
    <w:p>
      <w:pPr>
        <w:spacing w:before="240" w:after="120"/>
        <w:jc w:val="center"/>
      </w:pPr>
      <w:r>
        <w:rPr>
          <w:rFonts w:eastAsia="SimHei" w:ascii="Times New Roman" w:hAnsi="Times New Roman"/>
          <w:b w:val="0"/>
          <w:color w:val="000000"/>
          <w:sz w:val="28"/>
        </w:rPr>
        <w:t>云栖智能科技股份有限公司</w:t>
      </w:r>
    </w:p>
    <w:p>
      <w:r>
        <w:br w:type="page"/>
      </w:r>
    </w:p>
    <w:p>
      <w:pPr>
        <w:spacing w:before="240" w:after="120"/>
        <w:jc w:val="center"/>
      </w:pPr>
      <w:r>
        <w:rPr>
          <w:rFonts w:eastAsia="SimHei" w:ascii="Times New Roman" w:hAnsi="Times New Roman"/>
          <w:b/>
          <w:color w:val="000000"/>
          <w:sz w:val="32"/>
        </w:rPr>
        <w:t>公司简介</w:t>
      </w:r>
    </w:p>
    <w:p>
      <w:pPr>
        <w:spacing w:line="480" w:lineRule="exact"/>
        <w:ind w:firstLine="480"/>
      </w:pPr>
      <w:r>
        <w:rPr>
          <w:rFonts w:eastAsia="SimSun" w:ascii="Times New Roman" w:hAnsi="Times New Roman"/>
          <w:b w:val="0"/>
          <w:color w:val="000000"/>
          <w:sz w:val="24"/>
        </w:rPr>
        <w:t>公司全称：云栖智能科技股份有限公司</w:t>
      </w:r>
    </w:p>
    <w:p>
      <w:pPr>
        <w:spacing w:line="480" w:lineRule="exact"/>
        <w:ind w:firstLine="480"/>
      </w:pPr>
      <w:r>
        <w:rPr>
          <w:rFonts w:eastAsia="SimSun" w:ascii="Times New Roman" w:hAnsi="Times New Roman"/>
          <w:b w:val="0"/>
          <w:color w:val="000000"/>
          <w:sz w:val="24"/>
        </w:rPr>
        <w:t>证券代码：688271</w:t>
      </w:r>
    </w:p>
    <w:p>
      <w:pPr>
        <w:spacing w:line="480" w:lineRule="exact"/>
        <w:ind w:firstLine="480"/>
      </w:pPr>
      <w:r>
        <w:rPr>
          <w:rFonts w:eastAsia="SimSun" w:ascii="Times New Roman" w:hAnsi="Times New Roman"/>
          <w:b w:val="0"/>
          <w:color w:val="000000"/>
          <w:sz w:val="24"/>
        </w:rPr>
        <w:t>上市交易所：上海证券交易所科创板</w:t>
      </w:r>
    </w:p>
    <w:p>
      <w:pPr>
        <w:spacing w:line="480" w:lineRule="exact"/>
        <w:ind w:firstLine="480"/>
      </w:pPr>
      <w:r>
        <w:rPr>
          <w:rFonts w:eastAsia="SimSun" w:ascii="Times New Roman" w:hAnsi="Times New Roman"/>
          <w:b w:val="0"/>
          <w:color w:val="000000"/>
          <w:sz w:val="24"/>
        </w:rPr>
        <w:t>报告期间：2025年1月1日至2025年12月31日</w:t>
      </w:r>
    </w:p>
    <w:p>
      <w:pPr>
        <w:spacing w:before="240" w:after="120"/>
        <w:jc w:val="center"/>
      </w:pPr>
      <w:r>
        <w:rPr>
          <w:rFonts w:eastAsia="SimHei" w:ascii="Times New Roman" w:hAnsi="Times New Roman"/>
          <w:b/>
          <w:color w:val="000000"/>
          <w:sz w:val="32"/>
        </w:rPr>
        <w:t>主要财务数据和指标</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指标</w:t>
            </w:r>
          </w:p>
        </w:tc>
        <w:tc>
          <w:tcPr>
            <w:tcW w:type="dxa" w:w="2197"/>
          </w:tcPr>
          <w:p>
            <w:pPr>
              <w:jc w:val="center"/>
            </w:pPr>
            <w:r/>
            <w:r>
              <w:rPr>
                <w:rFonts w:eastAsia="SimSun" w:ascii="Times New Roman" w:hAnsi="Times New Roman"/>
                <w:b/>
                <w:color w:val="111827"/>
                <w:sz w:val="21"/>
              </w:rPr>
              <w:t>本期</w:t>
            </w:r>
          </w:p>
        </w:tc>
        <w:tc>
          <w:tcPr>
            <w:tcW w:type="dxa" w:w="2197"/>
          </w:tcPr>
          <w:p>
            <w:pPr>
              <w:jc w:val="center"/>
            </w:pPr>
            <w:r/>
            <w:r>
              <w:rPr>
                <w:rFonts w:eastAsia="SimSun" w:ascii="Times New Roman" w:hAnsi="Times New Roman"/>
                <w:b/>
                <w:color w:val="111827"/>
                <w:sz w:val="21"/>
              </w:rPr>
              <w:t>上年同期</w:t>
            </w:r>
          </w:p>
        </w:tc>
        <w:tc>
          <w:tcPr>
            <w:tcW w:type="dxa" w:w="2197"/>
          </w:tcPr>
          <w:p>
            <w:pPr>
              <w:jc w:val="center"/>
            </w:pPr>
            <w:r/>
            <w:r>
              <w:rPr>
                <w:rFonts w:eastAsia="SimSun" w:ascii="Times New Roman" w:hAnsi="Times New Roman"/>
                <w:b/>
                <w:color w:val="111827"/>
                <w:sz w:val="21"/>
              </w:rPr>
              <w:t>本期比上年增减</w:t>
            </w:r>
          </w:p>
        </w:tc>
      </w:tr>
      <w:tr>
        <w:tc>
          <w:tcPr>
            <w:tcW w:type="dxa" w:w="2197"/>
          </w:tcPr>
          <w:p>
            <w:pPr>
              <w:jc w:val="left"/>
            </w:pPr>
            <w:r/>
            <w:r>
              <w:rPr>
                <w:rFonts w:eastAsia="SimSun" w:ascii="Times New Roman" w:hAnsi="Times New Roman"/>
                <w:color w:val="4B5563"/>
                <w:sz w:val="18"/>
              </w:rPr>
              <w:t>营业收入（万元）</w:t>
            </w:r>
          </w:p>
        </w:tc>
        <w:tc>
          <w:tcPr>
            <w:tcW w:type="dxa" w:w="2197"/>
          </w:tcPr>
          <w:p>
            <w:pPr>
              <w:jc w:val="right"/>
            </w:pPr>
            <w:r/>
            <w:r>
              <w:rPr>
                <w:rFonts w:eastAsia="SimSun" w:ascii="Times New Roman" w:hAnsi="Times New Roman"/>
                <w:color w:val="4B5563"/>
                <w:sz w:val="18"/>
              </w:rPr>
              <w:t>156800.00</w:t>
            </w:r>
          </w:p>
        </w:tc>
        <w:tc>
          <w:tcPr>
            <w:tcW w:type="dxa" w:w="2197"/>
          </w:tcPr>
          <w:p>
            <w:pPr>
              <w:jc w:val="right"/>
            </w:pPr>
            <w:r/>
            <w:r>
              <w:rPr>
                <w:rFonts w:eastAsia="SimSun" w:ascii="Times New Roman" w:hAnsi="Times New Roman"/>
                <w:color w:val="4B5563"/>
                <w:sz w:val="18"/>
              </w:rPr>
              <w:t>128500.00</w:t>
            </w:r>
          </w:p>
        </w:tc>
        <w:tc>
          <w:tcPr>
            <w:tcW w:type="dxa" w:w="2197"/>
          </w:tcPr>
          <w:p>
            <w:pPr>
              <w:jc w:val="right"/>
            </w:pPr>
            <w:r/>
            <w:r>
              <w:rPr>
                <w:rFonts w:eastAsia="SimSun" w:ascii="Times New Roman" w:hAnsi="Times New Roman"/>
                <w:color w:val="4B5563"/>
                <w:sz w:val="18"/>
              </w:rPr>
              <w:t>22.02%</w:t>
            </w:r>
          </w:p>
        </w:tc>
      </w:tr>
      <w:tr>
        <w:tc>
          <w:tcPr>
            <w:tcW w:type="dxa" w:w="2197"/>
          </w:tcPr>
          <w:p>
            <w:pPr>
              <w:jc w:val="left"/>
            </w:pPr>
            <w:r/>
            <w:r>
              <w:rPr>
                <w:rFonts w:eastAsia="SimSun" w:ascii="Times New Roman" w:hAnsi="Times New Roman"/>
                <w:color w:val="4B5563"/>
                <w:sz w:val="18"/>
              </w:rPr>
              <w:t>归属于上市公司股东的净利润（万元）</w:t>
            </w:r>
          </w:p>
        </w:tc>
        <w:tc>
          <w:tcPr>
            <w:tcW w:type="dxa" w:w="2197"/>
          </w:tcPr>
          <w:p>
            <w:pPr>
              <w:jc w:val="right"/>
            </w:pPr>
            <w:r/>
            <w:r>
              <w:rPr>
                <w:rFonts w:eastAsia="SimSun" w:ascii="Times New Roman" w:hAnsi="Times New Roman"/>
                <w:color w:val="4B5563"/>
                <w:sz w:val="18"/>
              </w:rPr>
              <w:t>23800.00</w:t>
            </w:r>
          </w:p>
        </w:tc>
        <w:tc>
          <w:tcPr>
            <w:tcW w:type="dxa" w:w="2197"/>
          </w:tcPr>
          <w:p>
            <w:pPr>
              <w:jc w:val="right"/>
            </w:pPr>
            <w:r/>
            <w:r>
              <w:rPr>
                <w:rFonts w:eastAsia="SimSun" w:ascii="Times New Roman" w:hAnsi="Times New Roman"/>
                <w:color w:val="4B5563"/>
                <w:sz w:val="18"/>
              </w:rPr>
              <w:t>18500.00</w:t>
            </w:r>
          </w:p>
        </w:tc>
        <w:tc>
          <w:tcPr>
            <w:tcW w:type="dxa" w:w="2197"/>
          </w:tcPr>
          <w:p>
            <w:pPr>
              <w:jc w:val="right"/>
            </w:pPr>
            <w:r/>
            <w:r>
              <w:rPr>
                <w:rFonts w:eastAsia="SimSun" w:ascii="Times New Roman" w:hAnsi="Times New Roman"/>
                <w:color w:val="4B5563"/>
                <w:sz w:val="18"/>
              </w:rPr>
              <w:t>28.65%</w:t>
            </w:r>
          </w:p>
        </w:tc>
      </w:tr>
      <w:tr>
        <w:tc>
          <w:tcPr>
            <w:tcW w:type="dxa" w:w="2197"/>
          </w:tcPr>
          <w:p>
            <w:pPr>
              <w:jc w:val="left"/>
            </w:pPr>
            <w:r/>
            <w:r>
              <w:rPr>
                <w:rFonts w:eastAsia="SimSun" w:ascii="Times New Roman" w:hAnsi="Times New Roman"/>
                <w:color w:val="4B5563"/>
                <w:sz w:val="18"/>
              </w:rPr>
              <w:t>总资产（万元）</w:t>
            </w:r>
          </w:p>
        </w:tc>
        <w:tc>
          <w:tcPr>
            <w:tcW w:type="dxa" w:w="2197"/>
          </w:tcPr>
          <w:p>
            <w:pPr>
              <w:jc w:val="right"/>
            </w:pPr>
            <w:r/>
            <w:r>
              <w:rPr>
                <w:rFonts w:eastAsia="SimSun" w:ascii="Times New Roman" w:hAnsi="Times New Roman"/>
                <w:color w:val="4B5563"/>
                <w:sz w:val="18"/>
              </w:rPr>
              <w:t>489600.00</w:t>
            </w:r>
          </w:p>
        </w:tc>
        <w:tc>
          <w:tcPr>
            <w:tcW w:type="dxa" w:w="2197"/>
          </w:tcPr>
          <w:p>
            <w:pPr>
              <w:jc w:val="right"/>
            </w:pPr>
            <w:r/>
            <w:r>
              <w:rPr>
                <w:rFonts w:eastAsia="SimSun" w:ascii="Times New Roman" w:hAnsi="Times New Roman"/>
                <w:color w:val="4B5563"/>
                <w:sz w:val="18"/>
              </w:rPr>
              <w:t>412300.00</w:t>
            </w:r>
          </w:p>
        </w:tc>
        <w:tc>
          <w:tcPr>
            <w:tcW w:type="dxa" w:w="2197"/>
          </w:tcPr>
          <w:p>
            <w:pPr>
              <w:jc w:val="right"/>
            </w:pPr>
            <w:r/>
            <w:r>
              <w:rPr>
                <w:rFonts w:eastAsia="SimSun" w:ascii="Times New Roman" w:hAnsi="Times New Roman"/>
                <w:color w:val="4B5563"/>
                <w:sz w:val="18"/>
              </w:rPr>
              <w:t>18.75%</w:t>
            </w:r>
          </w:p>
        </w:tc>
      </w:tr>
      <w:tr>
        <w:tc>
          <w:tcPr>
            <w:tcW w:type="dxa" w:w="2197"/>
          </w:tcPr>
          <w:p>
            <w:pPr>
              <w:jc w:val="left"/>
            </w:pPr>
            <w:r/>
            <w:r>
              <w:rPr>
                <w:rFonts w:eastAsia="SimSun" w:ascii="Times New Roman" w:hAnsi="Times New Roman"/>
                <w:color w:val="4B5563"/>
                <w:sz w:val="18"/>
              </w:rPr>
              <w:t>基本每股收益（元/股）</w:t>
            </w:r>
          </w:p>
        </w:tc>
        <w:tc>
          <w:tcPr>
            <w:tcW w:type="dxa" w:w="2197"/>
          </w:tcPr>
          <w:p>
            <w:pPr>
              <w:jc w:val="right"/>
            </w:pPr>
            <w:r/>
            <w:r>
              <w:rPr>
                <w:rFonts w:eastAsia="SimSun" w:ascii="Times New Roman" w:hAnsi="Times New Roman"/>
                <w:color w:val="4B5563"/>
                <w:sz w:val="18"/>
              </w:rPr>
              <w:t>1.58</w:t>
            </w:r>
          </w:p>
        </w:tc>
        <w:tc>
          <w:tcPr>
            <w:tcW w:type="dxa" w:w="2197"/>
          </w:tcPr>
          <w:p>
            <w:pPr>
              <w:jc w:val="right"/>
            </w:pPr>
            <w:r/>
            <w:r>
              <w:rPr>
                <w:rFonts w:eastAsia="SimSun" w:ascii="Times New Roman" w:hAnsi="Times New Roman"/>
                <w:color w:val="4B5563"/>
                <w:sz w:val="18"/>
              </w:rPr>
              <w:t>1.23</w:t>
            </w:r>
          </w:p>
        </w:tc>
        <w:tc>
          <w:tcPr>
            <w:tcW w:type="dxa" w:w="2197"/>
          </w:tcPr>
          <w:p>
            <w:pPr>
              <w:jc w:val="right"/>
            </w:pPr>
            <w:r/>
            <w:r>
              <w:rPr>
                <w:rFonts w:eastAsia="SimSun" w:ascii="Times New Roman" w:hAnsi="Times New Roman"/>
                <w:color w:val="4B5563"/>
                <w:sz w:val="18"/>
              </w:rPr>
              <w:t>28.46%</w:t>
            </w:r>
          </w:p>
        </w:tc>
      </w:tr>
      <w:tr>
        <w:tc>
          <w:tcPr>
            <w:tcW w:type="dxa" w:w="2197"/>
          </w:tcPr>
          <w:p>
            <w:pPr>
              <w:jc w:val="left"/>
            </w:pPr>
            <w:r/>
            <w:r>
              <w:rPr>
                <w:rFonts w:eastAsia="SimSun" w:ascii="Times New Roman" w:hAnsi="Times New Roman"/>
                <w:color w:val="4B5563"/>
                <w:sz w:val="18"/>
              </w:rPr>
              <w:t>加权平均净资产收益率（%）</w:t>
            </w:r>
          </w:p>
        </w:tc>
        <w:tc>
          <w:tcPr>
            <w:tcW w:type="dxa" w:w="2197"/>
          </w:tcPr>
          <w:p>
            <w:pPr>
              <w:jc w:val="right"/>
            </w:pPr>
            <w:r/>
            <w:r>
              <w:rPr>
                <w:rFonts w:eastAsia="SimSun" w:ascii="Times New Roman" w:hAnsi="Times New Roman"/>
                <w:color w:val="4B5563"/>
                <w:sz w:val="18"/>
              </w:rPr>
              <w:t>14.20</w:t>
            </w:r>
          </w:p>
        </w:tc>
        <w:tc>
          <w:tcPr>
            <w:tcW w:type="dxa" w:w="2197"/>
          </w:tcPr>
          <w:p>
            <w:pPr>
              <w:jc w:val="right"/>
            </w:pPr>
            <w:r/>
            <w:r>
              <w:rPr>
                <w:rFonts w:eastAsia="SimSun" w:ascii="Times New Roman" w:hAnsi="Times New Roman"/>
                <w:color w:val="4B5563"/>
                <w:sz w:val="18"/>
              </w:rPr>
              <w:t>12.80</w:t>
            </w:r>
          </w:p>
        </w:tc>
        <w:tc>
          <w:tcPr>
            <w:tcW w:type="dxa" w:w="2197"/>
          </w:tcPr>
          <w:p>
            <w:pPr>
              <w:jc w:val="right"/>
            </w:pPr>
            <w:r/>
            <w:r>
              <w:rPr>
                <w:rFonts w:eastAsia="SimSun" w:ascii="Times New Roman" w:hAnsi="Times New Roman"/>
                <w:color w:val="4B5563"/>
                <w:sz w:val="18"/>
              </w:rPr>
              <w:t>10.94%</w:t>
            </w:r>
          </w:p>
        </w:tc>
      </w:tr>
    </w:tbl>
    <w:p>
      <w:pPr>
        <w:spacing w:before="240" w:after="120"/>
        <w:jc w:val="center"/>
      </w:pPr>
      <w:r>
        <w:rPr>
          <w:rFonts w:eastAsia="SimHei" w:ascii="Times New Roman" w:hAnsi="Times New Roman"/>
          <w:b/>
          <w:color w:val="000000"/>
          <w:sz w:val="32"/>
        </w:rPr>
        <w:t>第一节 重要提示、目录和释义</w:t>
      </w:r>
    </w:p>
    <w:p>
      <w:pPr>
        <w:spacing w:line="480" w:lineRule="exact"/>
        <w:ind w:firstLine="480"/>
      </w:pPr>
      <w:r>
        <w:rPr>
          <w:rFonts w:eastAsia="SimSun" w:ascii="Times New Roman" w:hAnsi="Times New Roman"/>
          <w:b w:val="0"/>
          <w:color w:val="000000"/>
          <w:sz w:val="24"/>
        </w:rPr>
        <w:t>本公司董事会、监事会及董事、监事、高级管理人员保证年度报告内容的真实、准确、完整，不存在虚假记载、误导性陈述或重大遗漏，并承担个别和连带的法律责任。</w:t>
      </w:r>
    </w:p>
    <w:p>
      <w:pPr>
        <w:spacing w:line="480" w:lineRule="exact"/>
        <w:ind w:firstLine="480"/>
      </w:pPr>
      <w:r>
        <w:rPr>
          <w:rFonts w:eastAsia="SimSun" w:ascii="Times New Roman" w:hAnsi="Times New Roman"/>
          <w:b w:val="0"/>
          <w:color w:val="000000"/>
          <w:sz w:val="24"/>
        </w:rPr>
        <w:t>公司全体董事均已出席审议本报告的董事会会议。立信会计师事务所（特殊普通合伙）为本公司出具了标准无保留意见的审计报告。公司负责人、主管会计工作负责人及会计机构负责人保证年度报告中财务报告的真实、准确、完整。</w:t>
      </w:r>
    </w:p>
    <w:p>
      <w:pPr>
        <w:spacing w:line="480" w:lineRule="exact"/>
        <w:ind w:firstLine="480"/>
      </w:pPr>
      <w:r>
        <w:rPr>
          <w:rFonts w:eastAsia="SimSun" w:ascii="Times New Roman" w:hAnsi="Times New Roman"/>
          <w:b w:val="0"/>
          <w:color w:val="000000"/>
          <w:sz w:val="24"/>
        </w:rPr>
        <w:t>经董事会审议，公司2025年度利润分配预案为：以实施权益分派股权登记日的总股本为基数，向全体股东每10股派发现金红利5.00元（含税），不送红股、不以资本公积金转增股本。</w:t>
      </w:r>
    </w:p>
    <w:p>
      <w:pPr>
        <w:spacing w:before="240" w:after="120"/>
        <w:jc w:val="center"/>
      </w:pPr>
      <w:r>
        <w:rPr>
          <w:rFonts w:eastAsia="SimHei" w:ascii="Times New Roman" w:hAnsi="Times New Roman"/>
          <w:b/>
          <w:color w:val="000000"/>
          <w:sz w:val="32"/>
        </w:rPr>
        <w:t>第二节 公司简介和主要财务指标</w:t>
      </w:r>
    </w:p>
    <w:p>
      <w:pPr>
        <w:spacing w:line="480" w:lineRule="exact"/>
        <w:ind w:firstLine="480"/>
      </w:pPr>
      <w:r>
        <w:rPr>
          <w:rFonts w:eastAsia="SimSun" w:ascii="Times New Roman" w:hAnsi="Times New Roman"/>
          <w:b w:val="0"/>
          <w:color w:val="000000"/>
          <w:sz w:val="24"/>
        </w:rPr>
        <w:t>公司是一家专注于工业人工智能与智能制造软硬件一体化解决方案的高新技术企业，主营业务涵盖工业视觉检测系统、边缘智能控制器与AI质检SaaS平台三大板块，产品广泛应用于新能源、半导体、汽车零部件等高端制造领域。</w:t>
      </w:r>
    </w:p>
    <w:p>
      <w:pPr>
        <w:spacing w:line="480" w:lineRule="exact"/>
        <w:ind w:firstLine="480"/>
      </w:pPr>
      <w:r>
        <w:rPr>
          <w:rFonts w:eastAsia="SimSun" w:ascii="Times New Roman" w:hAnsi="Times New Roman"/>
          <w:b w:val="0"/>
          <w:color w:val="000000"/>
          <w:sz w:val="24"/>
        </w:rPr>
        <w:t>报告期内，公司实现营业收入156,800.00万元，较上年增长22.02%；归属于上市公司股东的净利润23,450.00万元，较上年增长28.85%。详细财务指标见上表。</w:t>
      </w:r>
    </w:p>
    <w:p>
      <w:pPr>
        <w:spacing w:before="240" w:after="120"/>
        <w:jc w:val="center"/>
      </w:pPr>
      <w:r>
        <w:rPr>
          <w:rFonts w:eastAsia="SimHei" w:ascii="Times New Roman" w:hAnsi="Times New Roman"/>
          <w:b/>
          <w:color w:val="000000"/>
          <w:sz w:val="32"/>
        </w:rPr>
        <w:t>第三节 管理层讨论与分析</w:t>
      </w:r>
    </w:p>
    <w:p>
      <w:pPr>
        <w:spacing w:line="480" w:lineRule="exact"/>
        <w:ind w:firstLine="480"/>
      </w:pPr>
      <w:r>
        <w:rPr>
          <w:rFonts w:eastAsia="SimSun" w:ascii="Times New Roman" w:hAnsi="Times New Roman"/>
          <w:b w:val="0"/>
          <w:color w:val="000000"/>
          <w:sz w:val="24"/>
        </w:rPr>
        <w:t>报告期内，公司紧抓制造业智能化升级机遇，营业收入与净利润均实现两位数增长，盈利质量持续改善，经营活动产生的现金流量净额31,200.00万元，对净利润的覆盖倍数达1.31倍。</w:t>
      </w:r>
    </w:p>
    <w:p>
      <w:pPr>
        <w:spacing w:before="240" w:after="120"/>
      </w:pPr>
      <w:r>
        <w:rPr>
          <w:rFonts w:eastAsia="SimHei" w:ascii="Times New Roman" w:hAnsi="Times New Roman"/>
          <w:b/>
          <w:color w:val="000000"/>
          <w:sz w:val="28"/>
        </w:rPr>
        <w:t>一、分产品、分地区营业收入构成</w:t>
      </w:r>
    </w:p>
    <w:p>
      <w:pPr>
        <w:spacing w:line="480" w:lineRule="exact"/>
        <w:ind w:firstLine="480"/>
      </w:pPr>
      <w:r>
        <w:rPr>
          <w:rFonts w:eastAsia="SimSun" w:ascii="Times New Roman" w:hAnsi="Times New Roman"/>
          <w:b w:val="0"/>
          <w:color w:val="000000"/>
          <w:sz w:val="24"/>
        </w:rPr>
        <w:t>按产品与区域划分的营业收入构成如下，工业视觉检测系统仍为第一大收入来源，AI质检SaaS平台增速最快：</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项目</w:t>
            </w:r>
          </w:p>
        </w:tc>
        <w:tc>
          <w:tcPr>
            <w:tcW w:type="dxa" w:w="2197"/>
          </w:tcPr>
          <w:p>
            <w:pPr>
              <w:jc w:val="center"/>
            </w:pPr>
            <w:r/>
            <w:r>
              <w:rPr>
                <w:rFonts w:eastAsia="SimSun" w:ascii="Times New Roman" w:hAnsi="Times New Roman"/>
                <w:b/>
                <w:color w:val="111827"/>
                <w:sz w:val="21"/>
              </w:rPr>
              <w:t>本期金额(万元)</w:t>
            </w:r>
          </w:p>
        </w:tc>
        <w:tc>
          <w:tcPr>
            <w:tcW w:type="dxa" w:w="2197"/>
          </w:tcPr>
          <w:p>
            <w:pPr>
              <w:jc w:val="center"/>
            </w:pPr>
            <w:r/>
            <w:r>
              <w:rPr>
                <w:rFonts w:eastAsia="SimSun" w:ascii="Times New Roman" w:hAnsi="Times New Roman"/>
                <w:b/>
                <w:color w:val="111827"/>
                <w:sz w:val="21"/>
              </w:rPr>
              <w:t>占比</w:t>
            </w:r>
          </w:p>
        </w:tc>
        <w:tc>
          <w:tcPr>
            <w:tcW w:type="dxa" w:w="2197"/>
          </w:tcPr>
          <w:p>
            <w:pPr>
              <w:jc w:val="center"/>
            </w:pPr>
            <w:r/>
            <w:r>
              <w:rPr>
                <w:rFonts w:eastAsia="SimSun" w:ascii="Times New Roman" w:hAnsi="Times New Roman"/>
                <w:b/>
                <w:color w:val="111827"/>
                <w:sz w:val="21"/>
              </w:rPr>
              <w:t>同比增减</w:t>
            </w:r>
          </w:p>
        </w:tc>
      </w:tr>
      <w:tr>
        <w:tc>
          <w:tcPr>
            <w:tcW w:type="dxa" w:w="2197"/>
          </w:tcPr>
          <w:p>
            <w:pPr>
              <w:jc w:val="left"/>
            </w:pPr>
            <w:r/>
            <w:r>
              <w:rPr>
                <w:rFonts w:eastAsia="SimSun" w:ascii="Times New Roman" w:hAnsi="Times New Roman"/>
                <w:color w:val="4B5563"/>
                <w:sz w:val="18"/>
              </w:rPr>
              <w:t>工业视觉检测系统</w:t>
            </w:r>
          </w:p>
        </w:tc>
        <w:tc>
          <w:tcPr>
            <w:tcW w:type="dxa" w:w="2197"/>
          </w:tcPr>
          <w:p>
            <w:pPr>
              <w:jc w:val="left"/>
            </w:pPr>
            <w:r/>
            <w:r>
              <w:rPr>
                <w:rFonts w:eastAsia="SimSun" w:ascii="Times New Roman" w:hAnsi="Times New Roman"/>
                <w:color w:val="4B5563"/>
                <w:sz w:val="18"/>
              </w:rPr>
              <w:t>78400.00</w:t>
            </w:r>
          </w:p>
        </w:tc>
        <w:tc>
          <w:tcPr>
            <w:tcW w:type="dxa" w:w="2197"/>
          </w:tcPr>
          <w:p>
            <w:pPr>
              <w:jc w:val="left"/>
            </w:pPr>
            <w:r/>
            <w:r>
              <w:rPr>
                <w:rFonts w:eastAsia="SimSun" w:ascii="Times New Roman" w:hAnsi="Times New Roman"/>
                <w:color w:val="4B5563"/>
                <w:sz w:val="18"/>
              </w:rPr>
              <w:t>50.00%</w:t>
            </w:r>
          </w:p>
        </w:tc>
        <w:tc>
          <w:tcPr>
            <w:tcW w:type="dxa" w:w="2197"/>
          </w:tcPr>
          <w:p>
            <w:pPr>
              <w:jc w:val="left"/>
            </w:pPr>
            <w:r/>
            <w:r>
              <w:rPr>
                <w:rFonts w:eastAsia="SimSun" w:ascii="Times New Roman" w:hAnsi="Times New Roman"/>
                <w:color w:val="4B5563"/>
                <w:sz w:val="18"/>
              </w:rPr>
              <w:t>+18.50%</w:t>
            </w:r>
          </w:p>
        </w:tc>
      </w:tr>
      <w:tr>
        <w:tc>
          <w:tcPr>
            <w:tcW w:type="dxa" w:w="2197"/>
          </w:tcPr>
          <w:p>
            <w:pPr>
              <w:jc w:val="left"/>
            </w:pPr>
            <w:r/>
            <w:r>
              <w:rPr>
                <w:rFonts w:eastAsia="SimSun" w:ascii="Times New Roman" w:hAnsi="Times New Roman"/>
                <w:color w:val="4B5563"/>
                <w:sz w:val="18"/>
              </w:rPr>
              <w:t>边缘智能控制器</w:t>
            </w:r>
          </w:p>
        </w:tc>
        <w:tc>
          <w:tcPr>
            <w:tcW w:type="dxa" w:w="2197"/>
          </w:tcPr>
          <w:p>
            <w:pPr>
              <w:jc w:val="left"/>
            </w:pPr>
            <w:r/>
            <w:r>
              <w:rPr>
                <w:rFonts w:eastAsia="SimSun" w:ascii="Times New Roman" w:hAnsi="Times New Roman"/>
                <w:color w:val="4B5563"/>
                <w:sz w:val="18"/>
              </w:rPr>
              <w:t>43900.00</w:t>
            </w:r>
          </w:p>
        </w:tc>
        <w:tc>
          <w:tcPr>
            <w:tcW w:type="dxa" w:w="2197"/>
          </w:tcPr>
          <w:p>
            <w:pPr>
              <w:jc w:val="left"/>
            </w:pPr>
            <w:r/>
            <w:r>
              <w:rPr>
                <w:rFonts w:eastAsia="SimSun" w:ascii="Times New Roman" w:hAnsi="Times New Roman"/>
                <w:color w:val="4B5563"/>
                <w:sz w:val="18"/>
              </w:rPr>
              <w:t>28.00%</w:t>
            </w:r>
          </w:p>
        </w:tc>
        <w:tc>
          <w:tcPr>
            <w:tcW w:type="dxa" w:w="2197"/>
          </w:tcPr>
          <w:p>
            <w:pPr>
              <w:jc w:val="left"/>
            </w:pPr>
            <w:r/>
            <w:r>
              <w:rPr>
                <w:rFonts w:eastAsia="SimSun" w:ascii="Times New Roman" w:hAnsi="Times New Roman"/>
                <w:color w:val="4B5563"/>
                <w:sz w:val="18"/>
              </w:rPr>
              <w:t>+15.30%</w:t>
            </w:r>
          </w:p>
        </w:tc>
      </w:tr>
      <w:tr>
        <w:tc>
          <w:tcPr>
            <w:tcW w:type="dxa" w:w="2197"/>
          </w:tcPr>
          <w:p>
            <w:pPr>
              <w:jc w:val="left"/>
            </w:pPr>
            <w:r/>
            <w:r>
              <w:rPr>
                <w:rFonts w:eastAsia="SimSun" w:ascii="Times New Roman" w:hAnsi="Times New Roman"/>
                <w:color w:val="4B5563"/>
                <w:sz w:val="18"/>
              </w:rPr>
              <w:t>AI质检SaaS平台</w:t>
            </w:r>
          </w:p>
        </w:tc>
        <w:tc>
          <w:tcPr>
            <w:tcW w:type="dxa" w:w="2197"/>
          </w:tcPr>
          <w:p>
            <w:pPr>
              <w:jc w:val="left"/>
            </w:pPr>
            <w:r/>
            <w:r>
              <w:rPr>
                <w:rFonts w:eastAsia="SimSun" w:ascii="Times New Roman" w:hAnsi="Times New Roman"/>
                <w:color w:val="4B5563"/>
                <w:sz w:val="18"/>
              </w:rPr>
              <w:t>34500.00</w:t>
            </w:r>
          </w:p>
        </w:tc>
        <w:tc>
          <w:tcPr>
            <w:tcW w:type="dxa" w:w="2197"/>
          </w:tcPr>
          <w:p>
            <w:pPr>
              <w:jc w:val="left"/>
            </w:pPr>
            <w:r/>
            <w:r>
              <w:rPr>
                <w:rFonts w:eastAsia="SimSun" w:ascii="Times New Roman" w:hAnsi="Times New Roman"/>
                <w:color w:val="4B5563"/>
                <w:sz w:val="18"/>
              </w:rPr>
              <w:t>22.00%</w:t>
            </w:r>
          </w:p>
        </w:tc>
        <w:tc>
          <w:tcPr>
            <w:tcW w:type="dxa" w:w="2197"/>
          </w:tcPr>
          <w:p>
            <w:pPr>
              <w:jc w:val="left"/>
            </w:pPr>
            <w:r/>
            <w:r>
              <w:rPr>
                <w:rFonts w:eastAsia="SimSun" w:ascii="Times New Roman" w:hAnsi="Times New Roman"/>
                <w:color w:val="4B5563"/>
                <w:sz w:val="18"/>
              </w:rPr>
              <w:t>+41.20%</w:t>
            </w:r>
          </w:p>
        </w:tc>
      </w:tr>
      <w:tr>
        <w:tc>
          <w:tcPr>
            <w:tcW w:type="dxa" w:w="2197"/>
          </w:tcPr>
          <w:p>
            <w:pPr>
              <w:jc w:val="left"/>
            </w:pPr>
            <w:r/>
            <w:r>
              <w:rPr>
                <w:rFonts w:eastAsia="SimSun" w:ascii="Times New Roman" w:hAnsi="Times New Roman"/>
                <w:color w:val="4B5563"/>
                <w:sz w:val="18"/>
              </w:rPr>
              <w:t>其中：华东地区</w:t>
            </w:r>
          </w:p>
        </w:tc>
        <w:tc>
          <w:tcPr>
            <w:tcW w:type="dxa" w:w="2197"/>
          </w:tcPr>
          <w:p>
            <w:pPr>
              <w:jc w:val="left"/>
            </w:pPr>
            <w:r/>
            <w:r>
              <w:rPr>
                <w:rFonts w:eastAsia="SimSun" w:ascii="Times New Roman" w:hAnsi="Times New Roman"/>
                <w:color w:val="4B5563"/>
                <w:sz w:val="18"/>
              </w:rPr>
              <w:t>86240.00</w:t>
            </w:r>
          </w:p>
        </w:tc>
        <w:tc>
          <w:tcPr>
            <w:tcW w:type="dxa" w:w="2197"/>
          </w:tcPr>
          <w:p>
            <w:pPr>
              <w:jc w:val="left"/>
            </w:pPr>
            <w:r/>
            <w:r>
              <w:rPr>
                <w:rFonts w:eastAsia="SimSun" w:ascii="Times New Roman" w:hAnsi="Times New Roman"/>
                <w:color w:val="4B5563"/>
                <w:sz w:val="18"/>
              </w:rPr>
              <w:t>55.00%</w:t>
            </w:r>
          </w:p>
        </w:tc>
        <w:tc>
          <w:tcPr>
            <w:tcW w:type="dxa" w:w="2197"/>
          </w:tcPr>
          <w:p>
            <w:pPr>
              <w:jc w:val="left"/>
            </w:pPr>
            <w:r/>
            <w:r>
              <w:rPr>
                <w:rFonts w:eastAsia="SimSun" w:ascii="Times New Roman" w:hAnsi="Times New Roman"/>
                <w:color w:val="4B5563"/>
                <w:sz w:val="18"/>
              </w:rPr>
              <w:t>+20.10%</w:t>
            </w:r>
          </w:p>
        </w:tc>
      </w:tr>
      <w:tr>
        <w:tc>
          <w:tcPr>
            <w:tcW w:type="dxa" w:w="2197"/>
          </w:tcPr>
          <w:p>
            <w:pPr>
              <w:jc w:val="left"/>
            </w:pPr>
            <w:r/>
            <w:r>
              <w:rPr>
                <w:rFonts w:eastAsia="SimSun" w:ascii="Times New Roman" w:hAnsi="Times New Roman"/>
                <w:color w:val="4B5563"/>
                <w:sz w:val="18"/>
              </w:rPr>
              <w:t>其中：境外地区</w:t>
            </w:r>
          </w:p>
        </w:tc>
        <w:tc>
          <w:tcPr>
            <w:tcW w:type="dxa" w:w="2197"/>
          </w:tcPr>
          <w:p>
            <w:pPr>
              <w:jc w:val="left"/>
            </w:pPr>
            <w:r/>
            <w:r>
              <w:rPr>
                <w:rFonts w:eastAsia="SimSun" w:ascii="Times New Roman" w:hAnsi="Times New Roman"/>
                <w:color w:val="4B5563"/>
                <w:sz w:val="18"/>
              </w:rPr>
              <w:t>23520.00</w:t>
            </w:r>
          </w:p>
        </w:tc>
        <w:tc>
          <w:tcPr>
            <w:tcW w:type="dxa" w:w="2197"/>
          </w:tcPr>
          <w:p>
            <w:pPr>
              <w:jc w:val="left"/>
            </w:pPr>
            <w:r/>
            <w:r>
              <w:rPr>
                <w:rFonts w:eastAsia="SimSun" w:ascii="Times New Roman" w:hAnsi="Times New Roman"/>
                <w:color w:val="4B5563"/>
                <w:sz w:val="18"/>
              </w:rPr>
              <w:t>15.00%</w:t>
            </w:r>
          </w:p>
        </w:tc>
        <w:tc>
          <w:tcPr>
            <w:tcW w:type="dxa" w:w="2197"/>
          </w:tcPr>
          <w:p>
            <w:pPr>
              <w:jc w:val="left"/>
            </w:pPr>
            <w:r/>
            <w:r>
              <w:rPr>
                <w:rFonts w:eastAsia="SimSun" w:ascii="Times New Roman" w:hAnsi="Times New Roman"/>
                <w:color w:val="4B5563"/>
                <w:sz w:val="18"/>
              </w:rPr>
              <w:t>+35.60%</w:t>
            </w:r>
          </w:p>
        </w:tc>
      </w:tr>
    </w:tbl>
    <w:p>
      <w:pPr>
        <w:spacing w:before="240" w:after="120"/>
      </w:pPr>
      <w:r>
        <w:rPr>
          <w:rFonts w:eastAsia="SimHei" w:ascii="Times New Roman" w:hAnsi="Times New Roman"/>
          <w:b/>
          <w:color w:val="000000"/>
          <w:sz w:val="28"/>
        </w:rPr>
        <w:t>二、主要客户与供应商集中度</w:t>
      </w:r>
    </w:p>
    <w:p>
      <w:pPr>
        <w:spacing w:line="480" w:lineRule="exact"/>
        <w:ind w:firstLine="480"/>
      </w:pPr>
      <w:r>
        <w:rPr>
          <w:rFonts w:eastAsia="SimSun" w:ascii="Times New Roman" w:hAnsi="Times New Roman"/>
          <w:b w:val="0"/>
          <w:color w:val="000000"/>
          <w:sz w:val="24"/>
        </w:rPr>
        <w:t>报告期内，公司前五大客户合计销售金额54,880.00万元，占营业收入的35.00%，客户集中度处于合理区间；前五大供应商合计采购金额38,600.00万元，占采购总额的32.50%。</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类别</w:t>
            </w:r>
          </w:p>
        </w:tc>
        <w:tc>
          <w:tcPr>
            <w:tcW w:type="dxa" w:w="2197"/>
          </w:tcPr>
          <w:p>
            <w:pPr>
              <w:jc w:val="center"/>
            </w:pPr>
            <w:r/>
            <w:r>
              <w:rPr>
                <w:rFonts w:eastAsia="SimSun" w:ascii="Times New Roman" w:hAnsi="Times New Roman"/>
                <w:b/>
                <w:color w:val="111827"/>
                <w:sz w:val="21"/>
              </w:rPr>
              <w:t>名称</w:t>
            </w:r>
          </w:p>
        </w:tc>
        <w:tc>
          <w:tcPr>
            <w:tcW w:type="dxa" w:w="2197"/>
          </w:tcPr>
          <w:p>
            <w:pPr>
              <w:jc w:val="center"/>
            </w:pPr>
            <w:r/>
            <w:r>
              <w:rPr>
                <w:rFonts w:eastAsia="SimSun" w:ascii="Times New Roman" w:hAnsi="Times New Roman"/>
                <w:b/>
                <w:color w:val="111827"/>
                <w:sz w:val="21"/>
              </w:rPr>
              <w:t>金额(万元)</w:t>
            </w:r>
          </w:p>
        </w:tc>
        <w:tc>
          <w:tcPr>
            <w:tcW w:type="dxa" w:w="2197"/>
          </w:tcPr>
          <w:p>
            <w:pPr>
              <w:jc w:val="center"/>
            </w:pPr>
            <w:r/>
            <w:r>
              <w:rPr>
                <w:rFonts w:eastAsia="SimSun" w:ascii="Times New Roman" w:hAnsi="Times New Roman"/>
                <w:b/>
                <w:color w:val="111827"/>
                <w:sz w:val="21"/>
              </w:rPr>
              <w:t>占比</w:t>
            </w:r>
          </w:p>
        </w:tc>
      </w:tr>
      <w:tr>
        <w:tc>
          <w:tcPr>
            <w:tcW w:type="dxa" w:w="2197"/>
          </w:tcPr>
          <w:p>
            <w:pPr>
              <w:jc w:val="left"/>
            </w:pPr>
            <w:r/>
            <w:r>
              <w:rPr>
                <w:rFonts w:eastAsia="SimSun" w:ascii="Times New Roman" w:hAnsi="Times New Roman"/>
                <w:color w:val="4B5563"/>
                <w:sz w:val="18"/>
              </w:rPr>
              <w:t>前五大客户合计</w:t>
            </w:r>
          </w:p>
        </w:tc>
        <w:tc>
          <w:tcPr>
            <w:tcW w:type="dxa" w:w="2197"/>
          </w:tcPr>
          <w:p>
            <w:pPr>
              <w:jc w:val="left"/>
            </w:pPr>
            <w:r/>
            <w:r>
              <w:rPr>
                <w:rFonts w:eastAsia="SimSun" w:ascii="Times New Roman" w:hAnsi="Times New Roman"/>
                <w:color w:val="4B5563"/>
                <w:sz w:val="18"/>
              </w:rPr>
              <w:t>—</w:t>
            </w:r>
          </w:p>
        </w:tc>
        <w:tc>
          <w:tcPr>
            <w:tcW w:type="dxa" w:w="2197"/>
          </w:tcPr>
          <w:p>
            <w:pPr>
              <w:jc w:val="left"/>
            </w:pPr>
            <w:r/>
            <w:r>
              <w:rPr>
                <w:rFonts w:eastAsia="SimSun" w:ascii="Times New Roman" w:hAnsi="Times New Roman"/>
                <w:color w:val="4B5563"/>
                <w:sz w:val="18"/>
              </w:rPr>
              <w:t>54880.00</w:t>
            </w:r>
          </w:p>
        </w:tc>
        <w:tc>
          <w:tcPr>
            <w:tcW w:type="dxa" w:w="2197"/>
          </w:tcPr>
          <w:p>
            <w:pPr>
              <w:jc w:val="left"/>
            </w:pPr>
            <w:r/>
            <w:r>
              <w:rPr>
                <w:rFonts w:eastAsia="SimSun" w:ascii="Times New Roman" w:hAnsi="Times New Roman"/>
                <w:color w:val="4B5563"/>
                <w:sz w:val="18"/>
              </w:rPr>
              <w:t>35.00%</w:t>
            </w:r>
          </w:p>
        </w:tc>
      </w:tr>
      <w:tr>
        <w:tc>
          <w:tcPr>
            <w:tcW w:type="dxa" w:w="2197"/>
          </w:tcPr>
          <w:p>
            <w:pPr>
              <w:jc w:val="left"/>
            </w:pPr>
            <w:r/>
            <w:r>
              <w:rPr>
                <w:rFonts w:eastAsia="SimSun" w:ascii="Times New Roman" w:hAnsi="Times New Roman"/>
                <w:color w:val="4B5563"/>
                <w:sz w:val="18"/>
              </w:rPr>
              <w:t>第一大客户</w:t>
            </w:r>
          </w:p>
        </w:tc>
        <w:tc>
          <w:tcPr>
            <w:tcW w:type="dxa" w:w="2197"/>
          </w:tcPr>
          <w:p>
            <w:pPr>
              <w:jc w:val="left"/>
            </w:pPr>
            <w:r/>
            <w:r>
              <w:rPr>
                <w:rFonts w:eastAsia="SimSun" w:ascii="Times New Roman" w:hAnsi="Times New Roman"/>
                <w:color w:val="4B5563"/>
                <w:sz w:val="18"/>
              </w:rPr>
              <w:t>客户A</w:t>
            </w:r>
          </w:p>
        </w:tc>
        <w:tc>
          <w:tcPr>
            <w:tcW w:type="dxa" w:w="2197"/>
          </w:tcPr>
          <w:p>
            <w:pPr>
              <w:jc w:val="left"/>
            </w:pPr>
            <w:r/>
            <w:r>
              <w:rPr>
                <w:rFonts w:eastAsia="SimSun" w:ascii="Times New Roman" w:hAnsi="Times New Roman"/>
                <w:color w:val="4B5563"/>
                <w:sz w:val="18"/>
              </w:rPr>
              <w:t>18816.00</w:t>
            </w:r>
          </w:p>
        </w:tc>
        <w:tc>
          <w:tcPr>
            <w:tcW w:type="dxa" w:w="2197"/>
          </w:tcPr>
          <w:p>
            <w:pPr>
              <w:jc w:val="left"/>
            </w:pPr>
            <w:r/>
            <w:r>
              <w:rPr>
                <w:rFonts w:eastAsia="SimSun" w:ascii="Times New Roman" w:hAnsi="Times New Roman"/>
                <w:color w:val="4B5563"/>
                <w:sz w:val="18"/>
              </w:rPr>
              <w:t>12.00%</w:t>
            </w:r>
          </w:p>
        </w:tc>
      </w:tr>
      <w:tr>
        <w:tc>
          <w:tcPr>
            <w:tcW w:type="dxa" w:w="2197"/>
          </w:tcPr>
          <w:p>
            <w:pPr>
              <w:jc w:val="left"/>
            </w:pPr>
            <w:r/>
            <w:r>
              <w:rPr>
                <w:rFonts w:eastAsia="SimSun" w:ascii="Times New Roman" w:hAnsi="Times New Roman"/>
                <w:color w:val="4B5563"/>
                <w:sz w:val="18"/>
              </w:rPr>
              <w:t>前五大供应商合计</w:t>
            </w:r>
          </w:p>
        </w:tc>
        <w:tc>
          <w:tcPr>
            <w:tcW w:type="dxa" w:w="2197"/>
          </w:tcPr>
          <w:p>
            <w:pPr>
              <w:jc w:val="left"/>
            </w:pPr>
            <w:r/>
            <w:r>
              <w:rPr>
                <w:rFonts w:eastAsia="SimSun" w:ascii="Times New Roman" w:hAnsi="Times New Roman"/>
                <w:color w:val="4B5563"/>
                <w:sz w:val="18"/>
              </w:rPr>
              <w:t>—</w:t>
            </w:r>
          </w:p>
        </w:tc>
        <w:tc>
          <w:tcPr>
            <w:tcW w:type="dxa" w:w="2197"/>
          </w:tcPr>
          <w:p>
            <w:pPr>
              <w:jc w:val="left"/>
            </w:pPr>
            <w:r/>
            <w:r>
              <w:rPr>
                <w:rFonts w:eastAsia="SimSun" w:ascii="Times New Roman" w:hAnsi="Times New Roman"/>
                <w:color w:val="4B5563"/>
                <w:sz w:val="18"/>
              </w:rPr>
              <w:t>38600.00</w:t>
            </w:r>
          </w:p>
        </w:tc>
        <w:tc>
          <w:tcPr>
            <w:tcW w:type="dxa" w:w="2197"/>
          </w:tcPr>
          <w:p>
            <w:pPr>
              <w:jc w:val="left"/>
            </w:pPr>
            <w:r/>
            <w:r>
              <w:rPr>
                <w:rFonts w:eastAsia="SimSun" w:ascii="Times New Roman" w:hAnsi="Times New Roman"/>
                <w:color w:val="4B5563"/>
                <w:sz w:val="18"/>
              </w:rPr>
              <w:t>32.50%</w:t>
            </w:r>
          </w:p>
        </w:tc>
      </w:tr>
      <w:tr>
        <w:tc>
          <w:tcPr>
            <w:tcW w:type="dxa" w:w="2197"/>
          </w:tcPr>
          <w:p>
            <w:pPr>
              <w:jc w:val="left"/>
            </w:pPr>
            <w:r/>
            <w:r>
              <w:rPr>
                <w:rFonts w:eastAsia="SimSun" w:ascii="Times New Roman" w:hAnsi="Times New Roman"/>
                <w:color w:val="4B5563"/>
                <w:sz w:val="18"/>
              </w:rPr>
              <w:t>第一大供应商</w:t>
            </w:r>
          </w:p>
        </w:tc>
        <w:tc>
          <w:tcPr>
            <w:tcW w:type="dxa" w:w="2197"/>
          </w:tcPr>
          <w:p>
            <w:pPr>
              <w:jc w:val="left"/>
            </w:pPr>
            <w:r/>
            <w:r>
              <w:rPr>
                <w:rFonts w:eastAsia="SimSun" w:ascii="Times New Roman" w:hAnsi="Times New Roman"/>
                <w:color w:val="4B5563"/>
                <w:sz w:val="18"/>
              </w:rPr>
              <w:t>供应商甲</w:t>
            </w:r>
          </w:p>
        </w:tc>
        <w:tc>
          <w:tcPr>
            <w:tcW w:type="dxa" w:w="2197"/>
          </w:tcPr>
          <w:p>
            <w:pPr>
              <w:jc w:val="left"/>
            </w:pPr>
            <w:r/>
            <w:r>
              <w:rPr>
                <w:rFonts w:eastAsia="SimSun" w:ascii="Times New Roman" w:hAnsi="Times New Roman"/>
                <w:color w:val="4B5563"/>
                <w:sz w:val="18"/>
              </w:rPr>
              <w:t>12400.00</w:t>
            </w:r>
          </w:p>
        </w:tc>
        <w:tc>
          <w:tcPr>
            <w:tcW w:type="dxa" w:w="2197"/>
          </w:tcPr>
          <w:p>
            <w:pPr>
              <w:jc w:val="left"/>
            </w:pPr>
            <w:r/>
            <w:r>
              <w:rPr>
                <w:rFonts w:eastAsia="SimSun" w:ascii="Times New Roman" w:hAnsi="Times New Roman"/>
                <w:color w:val="4B5563"/>
                <w:sz w:val="18"/>
              </w:rPr>
              <w:t>10.44%</w:t>
            </w:r>
          </w:p>
        </w:tc>
      </w:tr>
    </w:tbl>
    <w:p>
      <w:pPr>
        <w:spacing w:before="240" w:after="120"/>
      </w:pPr>
      <w:r>
        <w:rPr>
          <w:rFonts w:eastAsia="SimHei" w:ascii="Times New Roman" w:hAnsi="Times New Roman"/>
          <w:b/>
          <w:color w:val="000000"/>
          <w:sz w:val="28"/>
        </w:rPr>
        <w:t>三、研发投入与重点研发项目</w:t>
      </w:r>
    </w:p>
    <w:p>
      <w:pPr>
        <w:spacing w:line="480" w:lineRule="exact"/>
        <w:ind w:firstLine="480"/>
      </w:pPr>
      <w:r>
        <w:rPr>
          <w:rFonts w:eastAsia="SimSun" w:ascii="Times New Roman" w:hAnsi="Times New Roman"/>
          <w:b w:val="0"/>
          <w:color w:val="000000"/>
          <w:sz w:val="24"/>
        </w:rPr>
        <w:t>公司坚持研发驱动，报告期内研发费用14,112.00万元，占营业收入的9.00%，研发人员386人，占员工总数的34.80%。</w:t>
      </w:r>
    </w:p>
    <w:p>
      <w:pPr>
        <w:spacing w:line="480" w:lineRule="exact"/>
        <w:ind w:firstLine="480"/>
      </w:pPr>
      <w:r>
        <w:rPr>
          <w:rFonts w:eastAsia="SimSun" w:ascii="Times New Roman" w:hAnsi="Times New Roman"/>
          <w:b w:val="0"/>
          <w:color w:val="000000"/>
          <w:sz w:val="24"/>
        </w:rPr>
        <w:t>报告期重点研发项目包括：高精度3D工业视觉检测算法（已结项并量产）、面向半导体晶圆的缺陷大模型质检平台（在研）、低功耗边缘AI推理芯片适配方案（在研）。报告期内新增发明专利23项，累计授权发明专利112项。</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指标</w:t>
            </w:r>
          </w:p>
        </w:tc>
        <w:tc>
          <w:tcPr>
            <w:tcW w:type="dxa" w:w="2197"/>
          </w:tcPr>
          <w:p>
            <w:pPr>
              <w:jc w:val="center"/>
            </w:pPr>
            <w:r/>
            <w:r>
              <w:rPr>
                <w:rFonts w:eastAsia="SimSun" w:ascii="Times New Roman" w:hAnsi="Times New Roman"/>
                <w:b/>
                <w:color w:val="111827"/>
                <w:sz w:val="21"/>
              </w:rPr>
              <w:t>本期</w:t>
            </w:r>
          </w:p>
        </w:tc>
        <w:tc>
          <w:tcPr>
            <w:tcW w:type="dxa" w:w="2197"/>
          </w:tcPr>
          <w:p>
            <w:pPr>
              <w:jc w:val="center"/>
            </w:pPr>
            <w:r/>
            <w:r>
              <w:rPr>
                <w:rFonts w:eastAsia="SimSun" w:ascii="Times New Roman" w:hAnsi="Times New Roman"/>
                <w:b/>
                <w:color w:val="111827"/>
                <w:sz w:val="21"/>
              </w:rPr>
              <w:t>上年同期</w:t>
            </w:r>
          </w:p>
        </w:tc>
        <w:tc>
          <w:tcPr>
            <w:tcW w:type="dxa" w:w="2197"/>
          </w:tcPr>
          <w:p>
            <w:pPr>
              <w:jc w:val="center"/>
            </w:pPr>
            <w:r/>
            <w:r>
              <w:rPr>
                <w:rFonts w:eastAsia="SimSun" w:ascii="Times New Roman" w:hAnsi="Times New Roman"/>
                <w:b/>
                <w:color w:val="111827"/>
                <w:sz w:val="21"/>
              </w:rPr>
              <w:t>同比增减</w:t>
            </w:r>
          </w:p>
        </w:tc>
      </w:tr>
      <w:tr>
        <w:tc>
          <w:tcPr>
            <w:tcW w:type="dxa" w:w="2197"/>
          </w:tcPr>
          <w:p>
            <w:pPr>
              <w:jc w:val="left"/>
            </w:pPr>
            <w:r/>
            <w:r>
              <w:rPr>
                <w:rFonts w:eastAsia="SimSun" w:ascii="Times New Roman" w:hAnsi="Times New Roman"/>
                <w:color w:val="4B5563"/>
                <w:sz w:val="18"/>
              </w:rPr>
              <w:t>研发费用(万元)</w:t>
            </w:r>
          </w:p>
        </w:tc>
        <w:tc>
          <w:tcPr>
            <w:tcW w:type="dxa" w:w="2197"/>
          </w:tcPr>
          <w:p>
            <w:pPr>
              <w:jc w:val="left"/>
            </w:pPr>
            <w:r/>
            <w:r>
              <w:rPr>
                <w:rFonts w:eastAsia="SimSun" w:ascii="Times New Roman" w:hAnsi="Times New Roman"/>
                <w:color w:val="4B5563"/>
                <w:sz w:val="18"/>
              </w:rPr>
              <w:t>14112.00</w:t>
            </w:r>
          </w:p>
        </w:tc>
        <w:tc>
          <w:tcPr>
            <w:tcW w:type="dxa" w:w="2197"/>
          </w:tcPr>
          <w:p>
            <w:pPr>
              <w:jc w:val="left"/>
            </w:pPr>
            <w:r/>
            <w:r>
              <w:rPr>
                <w:rFonts w:eastAsia="SimSun" w:ascii="Times New Roman" w:hAnsi="Times New Roman"/>
                <w:color w:val="4B5563"/>
                <w:sz w:val="18"/>
              </w:rPr>
              <w:t>11050.00</w:t>
            </w:r>
          </w:p>
        </w:tc>
        <w:tc>
          <w:tcPr>
            <w:tcW w:type="dxa" w:w="2197"/>
          </w:tcPr>
          <w:p>
            <w:pPr>
              <w:jc w:val="left"/>
            </w:pPr>
            <w:r/>
            <w:r>
              <w:rPr>
                <w:rFonts w:eastAsia="SimSun" w:ascii="Times New Roman" w:hAnsi="Times New Roman"/>
                <w:color w:val="4B5563"/>
                <w:sz w:val="18"/>
              </w:rPr>
              <w:t>+27.71%</w:t>
            </w:r>
          </w:p>
        </w:tc>
      </w:tr>
      <w:tr>
        <w:tc>
          <w:tcPr>
            <w:tcW w:type="dxa" w:w="2197"/>
          </w:tcPr>
          <w:p>
            <w:pPr>
              <w:jc w:val="left"/>
            </w:pPr>
            <w:r/>
            <w:r>
              <w:rPr>
                <w:rFonts w:eastAsia="SimSun" w:ascii="Times New Roman" w:hAnsi="Times New Roman"/>
                <w:color w:val="4B5563"/>
                <w:sz w:val="18"/>
              </w:rPr>
              <w:t>研发费用占营收比</w:t>
            </w:r>
          </w:p>
        </w:tc>
        <w:tc>
          <w:tcPr>
            <w:tcW w:type="dxa" w:w="2197"/>
          </w:tcPr>
          <w:p>
            <w:pPr>
              <w:jc w:val="left"/>
            </w:pPr>
            <w:r/>
            <w:r>
              <w:rPr>
                <w:rFonts w:eastAsia="SimSun" w:ascii="Times New Roman" w:hAnsi="Times New Roman"/>
                <w:color w:val="4B5563"/>
                <w:sz w:val="18"/>
              </w:rPr>
              <w:t>9.00%</w:t>
            </w:r>
          </w:p>
        </w:tc>
        <w:tc>
          <w:tcPr>
            <w:tcW w:type="dxa" w:w="2197"/>
          </w:tcPr>
          <w:p>
            <w:pPr>
              <w:jc w:val="left"/>
            </w:pPr>
            <w:r/>
            <w:r>
              <w:rPr>
                <w:rFonts w:eastAsia="SimSun" w:ascii="Times New Roman" w:hAnsi="Times New Roman"/>
                <w:color w:val="4B5563"/>
                <w:sz w:val="18"/>
              </w:rPr>
              <w:t>8.60%</w:t>
            </w:r>
          </w:p>
        </w:tc>
        <w:tc>
          <w:tcPr>
            <w:tcW w:type="dxa" w:w="2197"/>
          </w:tcPr>
          <w:p>
            <w:pPr>
              <w:jc w:val="left"/>
            </w:pPr>
            <w:r/>
            <w:r>
              <w:rPr>
                <w:rFonts w:eastAsia="SimSun" w:ascii="Times New Roman" w:hAnsi="Times New Roman"/>
                <w:color w:val="4B5563"/>
                <w:sz w:val="18"/>
              </w:rPr>
              <w:t>+0.40pct</w:t>
            </w:r>
          </w:p>
        </w:tc>
      </w:tr>
      <w:tr>
        <w:tc>
          <w:tcPr>
            <w:tcW w:type="dxa" w:w="2197"/>
          </w:tcPr>
          <w:p>
            <w:pPr>
              <w:jc w:val="left"/>
            </w:pPr>
            <w:r/>
            <w:r>
              <w:rPr>
                <w:rFonts w:eastAsia="SimSun" w:ascii="Times New Roman" w:hAnsi="Times New Roman"/>
                <w:color w:val="4B5563"/>
                <w:sz w:val="18"/>
              </w:rPr>
              <w:t>研发人员数(人)</w:t>
            </w:r>
          </w:p>
        </w:tc>
        <w:tc>
          <w:tcPr>
            <w:tcW w:type="dxa" w:w="2197"/>
          </w:tcPr>
          <w:p>
            <w:pPr>
              <w:jc w:val="left"/>
            </w:pPr>
            <w:r/>
            <w:r>
              <w:rPr>
                <w:rFonts w:eastAsia="SimSun" w:ascii="Times New Roman" w:hAnsi="Times New Roman"/>
                <w:color w:val="4B5563"/>
                <w:sz w:val="18"/>
              </w:rPr>
              <w:t>386</w:t>
            </w:r>
          </w:p>
        </w:tc>
        <w:tc>
          <w:tcPr>
            <w:tcW w:type="dxa" w:w="2197"/>
          </w:tcPr>
          <w:p>
            <w:pPr>
              <w:jc w:val="left"/>
            </w:pPr>
            <w:r/>
            <w:r>
              <w:rPr>
                <w:rFonts w:eastAsia="SimSun" w:ascii="Times New Roman" w:hAnsi="Times New Roman"/>
                <w:color w:val="4B5563"/>
                <w:sz w:val="18"/>
              </w:rPr>
              <w:t>312</w:t>
            </w:r>
          </w:p>
        </w:tc>
        <w:tc>
          <w:tcPr>
            <w:tcW w:type="dxa" w:w="2197"/>
          </w:tcPr>
          <w:p>
            <w:pPr>
              <w:jc w:val="left"/>
            </w:pPr>
            <w:r/>
            <w:r>
              <w:rPr>
                <w:rFonts w:eastAsia="SimSun" w:ascii="Times New Roman" w:hAnsi="Times New Roman"/>
                <w:color w:val="4B5563"/>
                <w:sz w:val="18"/>
              </w:rPr>
              <w:t>+23.72%</w:t>
            </w:r>
          </w:p>
        </w:tc>
      </w:tr>
    </w:tbl>
    <w:p>
      <w:pPr>
        <w:spacing w:before="240" w:after="120"/>
      </w:pPr>
      <w:r>
        <w:rPr>
          <w:rFonts w:eastAsia="SimHei" w:ascii="Times New Roman" w:hAnsi="Times New Roman"/>
          <w:b/>
          <w:color w:val="000000"/>
          <w:sz w:val="28"/>
        </w:rPr>
        <w:t>四、现金流量重大变动分析</w:t>
      </w:r>
    </w:p>
    <w:p>
      <w:pPr>
        <w:spacing w:line="480" w:lineRule="exact"/>
        <w:ind w:firstLine="480"/>
      </w:pPr>
      <w:r>
        <w:rPr>
          <w:rFonts w:eastAsia="SimSun" w:ascii="Times New Roman" w:hAnsi="Times New Roman"/>
          <w:b w:val="0"/>
          <w:color w:val="000000"/>
          <w:sz w:val="24"/>
        </w:rPr>
        <w:t>报告期内，经营活动产生的现金流量净额31,200.00万元，同比增长26.83%，主要系销售回款改善、票据贴现增加所致；投资活动产生的现金流量净额-28,400.00万元，主要系募投项目厂房建设与产线设备投入；筹资活动产生的现金流量净额8,600.00万元，主要系报告期内取得长期借款。期末现金及现金等价物余额62,800.00万元，流动性充裕。</w:t>
      </w:r>
    </w:p>
    <w:p>
      <w:pPr>
        <w:spacing w:before="240" w:after="120"/>
        <w:jc w:val="center"/>
      </w:pPr>
      <w:r>
        <w:rPr>
          <w:rFonts w:eastAsia="SimHei" w:ascii="Times New Roman" w:hAnsi="Times New Roman"/>
          <w:b/>
          <w:color w:val="000000"/>
          <w:sz w:val="32"/>
        </w:rPr>
        <w:t>第四节 公司治理</w:t>
      </w:r>
    </w:p>
    <w:p>
      <w:pPr>
        <w:spacing w:line="480" w:lineRule="exact"/>
        <w:ind w:firstLine="480"/>
      </w:pPr>
      <w:r>
        <w:rPr>
          <w:rFonts w:eastAsia="SimSun" w:ascii="Times New Roman" w:hAnsi="Times New Roman"/>
          <w:b w:val="0"/>
          <w:color w:val="000000"/>
          <w:sz w:val="24"/>
        </w:rPr>
        <w:t>报告期内，公司严格按照《公司法》《证券法》及证监会、上交所相关规定规范运作，持续完善法人治理结构，董事会、监事会及经理层职责清晰、相互制衡、运转有效。</w:t>
      </w:r>
    </w:p>
    <w:p>
      <w:pPr>
        <w:spacing w:before="240" w:after="120"/>
      </w:pPr>
      <w:r>
        <w:rPr>
          <w:rFonts w:eastAsia="SimHei" w:ascii="Times New Roman" w:hAnsi="Times New Roman"/>
          <w:b/>
          <w:color w:val="000000"/>
          <w:sz w:val="28"/>
        </w:rPr>
        <w:t>一、三会运作情况</w:t>
      </w:r>
    </w:p>
    <w:p>
      <w:pPr>
        <w:spacing w:line="480" w:lineRule="exact"/>
        <w:ind w:firstLine="480"/>
      </w:pPr>
      <w:r>
        <w:rPr>
          <w:rFonts w:eastAsia="SimSun" w:ascii="Times New Roman" w:hAnsi="Times New Roman"/>
          <w:b w:val="0"/>
          <w:color w:val="000000"/>
          <w:sz w:val="24"/>
        </w:rPr>
        <w:t>报告期内，公司共召开股东大会3次、董事会会议8次、监事会会议6次，会议召集、召开及表决程序均符合法律法规及《公司章程》规定，所有议案均依法表决通过并及时披露。股东大会对涉及股东利益的重大事项进行了充分审议。</w:t>
      </w:r>
    </w:p>
    <w:p>
      <w:pPr>
        <w:spacing w:before="240" w:after="120"/>
      </w:pPr>
      <w:r>
        <w:rPr>
          <w:rFonts w:eastAsia="SimHei" w:ascii="Times New Roman" w:hAnsi="Times New Roman"/>
          <w:b/>
          <w:color w:val="000000"/>
          <w:sz w:val="28"/>
        </w:rPr>
        <w:t>二、独立董事履职情况</w:t>
      </w:r>
    </w:p>
    <w:p>
      <w:pPr>
        <w:spacing w:line="480" w:lineRule="exact"/>
        <w:ind w:firstLine="480"/>
      </w:pPr>
      <w:r>
        <w:rPr>
          <w:rFonts w:eastAsia="SimSun" w:ascii="Times New Roman" w:hAnsi="Times New Roman"/>
          <w:b w:val="0"/>
          <w:color w:val="000000"/>
          <w:sz w:val="24"/>
        </w:rPr>
        <w:t>公司设独立董事3名，占董事会成员的1/3。报告期内独立董事勤勉尽责，全部出席相关董事会会议，对关联交易、利润分配、对外担保等事项发表了独立意见，未提出异议，有效维护了公司及中小股东的合法权益。</w:t>
      </w:r>
    </w:p>
    <w:p>
      <w:pPr>
        <w:spacing w:before="240" w:after="120"/>
      </w:pPr>
      <w:r>
        <w:rPr>
          <w:rFonts w:eastAsia="SimHei" w:ascii="Times New Roman" w:hAnsi="Times New Roman"/>
          <w:b/>
          <w:color w:val="000000"/>
          <w:sz w:val="28"/>
        </w:rPr>
        <w:t>三、董事会专门委员会运作</w:t>
      </w:r>
    </w:p>
    <w:p>
      <w:pPr>
        <w:spacing w:line="480" w:lineRule="exact"/>
        <w:ind w:firstLine="480"/>
      </w:pPr>
      <w:r>
        <w:rPr>
          <w:rFonts w:eastAsia="SimSun" w:ascii="Times New Roman" w:hAnsi="Times New Roman"/>
          <w:b w:val="0"/>
          <w:color w:val="000000"/>
          <w:sz w:val="24"/>
        </w:rPr>
        <w:t>董事会下设审计委员会、提名委员会、薪酬与考核委员会、战略委员会四个专门委员会。报告期内，审计委员会审议了定期财务报告及内部控制相关事项；薪酬与考核委员会对董事、高管的薪酬方案及考核结果进行了审议；各委员会均按议事规则规范履职。</w:t>
      </w:r>
    </w:p>
    <w:p>
      <w:pPr>
        <w:spacing w:before="240" w:after="120"/>
      </w:pPr>
      <w:r>
        <w:rPr>
          <w:rFonts w:eastAsia="SimHei" w:ascii="Times New Roman" w:hAnsi="Times New Roman"/>
          <w:b/>
          <w:color w:val="000000"/>
          <w:sz w:val="28"/>
        </w:rPr>
        <w:t>四、内部控制评价</w:t>
      </w:r>
    </w:p>
    <w:p>
      <w:pPr>
        <w:spacing w:line="480" w:lineRule="exact"/>
        <w:ind w:firstLine="480"/>
      </w:pPr>
      <w:r>
        <w:rPr>
          <w:rFonts w:eastAsia="SimSun" w:ascii="Times New Roman" w:hAnsi="Times New Roman"/>
          <w:b w:val="0"/>
          <w:color w:val="000000"/>
          <w:sz w:val="24"/>
        </w:rPr>
        <w:t>公司建立了较为完善的内部控制制度体系并有效执行。报告期内，公司财务报告内部控制不存在重大缺陷，立信会计师事务所对公司内部控制出具了标准无保留意见的内部控制审计报告。</w:t>
      </w:r>
    </w:p>
    <w:p>
      <w:pPr>
        <w:spacing w:before="240" w:after="120"/>
      </w:pPr>
      <w:r>
        <w:rPr>
          <w:rFonts w:eastAsia="SimHei" w:ascii="Times New Roman" w:hAnsi="Times New Roman"/>
          <w:b/>
          <w:color w:val="000000"/>
          <w:sz w:val="28"/>
        </w:rPr>
        <w:t>五、董事、监事和高级管理人员报酬</w:t>
      </w:r>
    </w:p>
    <w:p>
      <w:pPr>
        <w:spacing w:line="480" w:lineRule="exact"/>
        <w:ind w:firstLine="480"/>
      </w:pPr>
      <w:r>
        <w:rPr>
          <w:rFonts w:eastAsia="SimSun" w:ascii="Times New Roman" w:hAnsi="Times New Roman"/>
          <w:b w:val="0"/>
          <w:color w:val="000000"/>
          <w:sz w:val="24"/>
        </w:rPr>
        <w:t>公司董事、监事和高级管理人员报酬依据薪酬与考核委员会制定的考核办法确定，与公司经营业绩及个人绩效挂钩。报告期内，董事、监事及高级管理人员税前报酬合计1,286.50万元，相关情况已在年报中按规定披露。</w:t>
      </w:r>
    </w:p>
    <w:p>
      <w:pPr>
        <w:spacing w:before="240" w:after="120"/>
        <w:jc w:val="center"/>
      </w:pPr>
      <w:r>
        <w:rPr>
          <w:rFonts w:eastAsia="SimHei" w:ascii="Times New Roman" w:hAnsi="Times New Roman"/>
          <w:b/>
          <w:color w:val="000000"/>
          <w:sz w:val="32"/>
        </w:rPr>
        <w:t>第五节 环境、社会责任与可持续发展</w:t>
      </w:r>
    </w:p>
    <w:p>
      <w:pPr>
        <w:spacing w:line="480" w:lineRule="exact"/>
        <w:ind w:firstLine="480"/>
      </w:pPr>
      <w:r>
        <w:rPr>
          <w:rFonts w:eastAsia="SimSun" w:ascii="Times New Roman" w:hAnsi="Times New Roman"/>
          <w:b w:val="0"/>
          <w:color w:val="000000"/>
          <w:sz w:val="24"/>
        </w:rPr>
        <w:t>公司高度重视绿色生产与社会责任，报告期内环保投入860.00万元，主要用于厂区光伏改造与废气处理设施升级；公司不属于重点排污单位，各项污染物排放均达标。报告期公益捐赠合计120.00万元，主要用于乡村教育与科技助学项目。</w:t>
      </w:r>
    </w:p>
    <w:p>
      <w:pPr>
        <w:spacing w:before="240" w:after="120"/>
        <w:jc w:val="center"/>
      </w:pPr>
      <w:r>
        <w:rPr>
          <w:rFonts w:eastAsia="SimHei" w:ascii="Times New Roman" w:hAnsi="Times New Roman"/>
          <w:b/>
          <w:color w:val="000000"/>
          <w:sz w:val="32"/>
        </w:rPr>
        <w:t>第六节 重要事项</w:t>
      </w:r>
    </w:p>
    <w:p>
      <w:pPr>
        <w:spacing w:line="480" w:lineRule="exact"/>
        <w:ind w:firstLine="480"/>
      </w:pPr>
      <w:r>
        <w:rPr>
          <w:rFonts w:eastAsia="SimSun" w:ascii="Times New Roman" w:hAnsi="Times New Roman"/>
          <w:b w:val="0"/>
          <w:color w:val="000000"/>
          <w:sz w:val="24"/>
        </w:rPr>
        <w:t>报告期内公司各项重要事项履行了相应审议程序与信息披露义务，具体如下。</w:t>
      </w:r>
    </w:p>
    <w:p>
      <w:pPr>
        <w:spacing w:before="240" w:after="120"/>
      </w:pPr>
      <w:r>
        <w:rPr>
          <w:rFonts w:eastAsia="SimHei" w:ascii="Times New Roman" w:hAnsi="Times New Roman"/>
          <w:b/>
          <w:color w:val="000000"/>
          <w:sz w:val="28"/>
        </w:rPr>
        <w:t>一、重大诉讼、仲裁事项</w:t>
      </w:r>
    </w:p>
    <w:p>
      <w:pPr>
        <w:spacing w:line="480" w:lineRule="exact"/>
        <w:ind w:firstLine="480"/>
      </w:pPr>
      <w:r>
        <w:rPr>
          <w:rFonts w:eastAsia="SimSun" w:ascii="Times New Roman" w:hAnsi="Times New Roman"/>
          <w:b w:val="0"/>
          <w:color w:val="000000"/>
          <w:sz w:val="24"/>
        </w:rPr>
        <w:t>报告期内，公司无重大诉讼、仲裁事项。</w:t>
      </w:r>
    </w:p>
    <w:p>
      <w:pPr>
        <w:spacing w:before="240" w:after="120"/>
      </w:pPr>
      <w:r>
        <w:rPr>
          <w:rFonts w:eastAsia="SimHei" w:ascii="Times New Roman" w:hAnsi="Times New Roman"/>
          <w:b/>
          <w:color w:val="000000"/>
          <w:sz w:val="28"/>
        </w:rPr>
        <w:t>二、对外担保情况</w:t>
      </w:r>
    </w:p>
    <w:p>
      <w:pPr>
        <w:spacing w:line="480" w:lineRule="exact"/>
        <w:ind w:firstLine="480"/>
      </w:pPr>
      <w:r>
        <w:rPr>
          <w:rFonts w:eastAsia="SimSun" w:ascii="Times New Roman" w:hAnsi="Times New Roman"/>
          <w:b w:val="0"/>
          <w:color w:val="000000"/>
          <w:sz w:val="24"/>
        </w:rPr>
        <w:t>报告期内，公司及控股子公司无违规对外担保事项。经董事会、股东大会审议批准，公司为全资子公司提供的合并报表范围内担保余额为8,000.00万元，担保对象资信状况良好，风险可控。</w:t>
      </w:r>
    </w:p>
    <w:p>
      <w:pPr>
        <w:spacing w:before="240" w:after="120"/>
      </w:pPr>
      <w:r>
        <w:rPr>
          <w:rFonts w:eastAsia="SimHei" w:ascii="Times New Roman" w:hAnsi="Times New Roman"/>
          <w:b/>
          <w:color w:val="000000"/>
          <w:sz w:val="28"/>
        </w:rPr>
        <w:t>三、关联交易</w:t>
      </w:r>
    </w:p>
    <w:p>
      <w:pPr>
        <w:spacing w:line="480" w:lineRule="exact"/>
        <w:ind w:firstLine="480"/>
      </w:pPr>
      <w:r>
        <w:rPr>
          <w:rFonts w:eastAsia="SimSun" w:ascii="Times New Roman" w:hAnsi="Times New Roman"/>
          <w:b w:val="0"/>
          <w:color w:val="000000"/>
          <w:sz w:val="24"/>
        </w:rPr>
        <w:t>报告期内，公司发生的日常关联交易主要为向关联方采购少量通用元器件，交易总额860.00万元，定价公允，履行了相应审议程序，独立董事发表了同意的独立意见，不存在损害公司及中小股东利益的情形。</w:t>
      </w:r>
    </w:p>
    <w:p>
      <w:pPr>
        <w:spacing w:before="240" w:after="120"/>
      </w:pPr>
      <w:r>
        <w:rPr>
          <w:rFonts w:eastAsia="SimHei" w:ascii="Times New Roman" w:hAnsi="Times New Roman"/>
          <w:b/>
          <w:color w:val="000000"/>
          <w:sz w:val="28"/>
        </w:rPr>
        <w:t>四、重大合同及其履行</w:t>
      </w:r>
    </w:p>
    <w:p>
      <w:pPr>
        <w:spacing w:line="480" w:lineRule="exact"/>
        <w:ind w:firstLine="480"/>
      </w:pPr>
      <w:r>
        <w:rPr>
          <w:rFonts w:eastAsia="SimSun" w:ascii="Times New Roman" w:hAnsi="Times New Roman"/>
          <w:b w:val="0"/>
          <w:color w:val="000000"/>
          <w:sz w:val="24"/>
        </w:rPr>
        <w:t>报告期内，公司与某新能源龙头企业签订金额为2.30亿元的智能质检产线框架采购合同，截至报告期末已按约定进度交付并确认收入1.18亿元，合同履行正常，不存在重大违约风险。</w:t>
      </w:r>
    </w:p>
    <w:p>
      <w:pPr>
        <w:spacing w:before="240" w:after="120"/>
      </w:pPr>
      <w:r>
        <w:rPr>
          <w:rFonts w:eastAsia="SimHei" w:ascii="Times New Roman" w:hAnsi="Times New Roman"/>
          <w:b/>
          <w:color w:val="000000"/>
          <w:sz w:val="28"/>
        </w:rPr>
        <w:t>五、募集资金使用情况</w:t>
      </w:r>
    </w:p>
    <w:p>
      <w:pPr>
        <w:spacing w:line="480" w:lineRule="exact"/>
        <w:ind w:firstLine="480"/>
      </w:pPr>
      <w:r>
        <w:rPr>
          <w:rFonts w:eastAsia="SimSun" w:ascii="Times New Roman" w:hAnsi="Times New Roman"/>
          <w:b w:val="0"/>
          <w:color w:val="000000"/>
          <w:sz w:val="24"/>
        </w:rPr>
        <w:t>公司首次公开发行募集资金净额为12.60亿元，截至报告期末累计投入9.85亿元，募投项目「工业AI视觉研发与产业化基地」「边缘智能控制器扩产」按计划推进，募集资金使用合规，专户存储、专款专用，不存在变相改变募集资金用途的情形。</w:t>
      </w:r>
    </w:p>
    <w:p>
      <w:pPr>
        <w:spacing w:before="240" w:after="120"/>
      </w:pPr>
      <w:r>
        <w:rPr>
          <w:rFonts w:eastAsia="SimHei" w:ascii="Times New Roman" w:hAnsi="Times New Roman"/>
          <w:b/>
          <w:color w:val="000000"/>
          <w:sz w:val="28"/>
        </w:rPr>
        <w:t>六、承诺事项履行情况</w:t>
      </w:r>
    </w:p>
    <w:p>
      <w:pPr>
        <w:spacing w:line="480" w:lineRule="exact"/>
        <w:ind w:firstLine="480"/>
      </w:pPr>
      <w:r>
        <w:rPr>
          <w:rFonts w:eastAsia="SimSun" w:ascii="Times New Roman" w:hAnsi="Times New Roman"/>
          <w:b w:val="0"/>
          <w:color w:val="000000"/>
          <w:sz w:val="24"/>
        </w:rPr>
        <w:t>报告期内，公司控股股东、实际控制人及董监高就股份限售、避免同业竞争、规范关联交易等作出的各项承诺均严格履行，不存在未履行或超期未履行的承诺事项。</w:t>
      </w:r>
    </w:p>
    <w:p>
      <w:pPr>
        <w:spacing w:before="240" w:after="120"/>
        <w:jc w:val="center"/>
      </w:pPr>
      <w:r>
        <w:rPr>
          <w:rFonts w:eastAsia="SimHei" w:ascii="Times New Roman" w:hAnsi="Times New Roman"/>
          <w:b/>
          <w:color w:val="000000"/>
          <w:sz w:val="32"/>
        </w:rPr>
        <w:t>第七节 股份变动及股东情况</w:t>
      </w:r>
    </w:p>
    <w:p>
      <w:pPr>
        <w:spacing w:line="480" w:lineRule="exact"/>
        <w:ind w:firstLine="480"/>
      </w:pPr>
      <w:r>
        <w:rPr>
          <w:rFonts w:eastAsia="SimSun" w:ascii="Times New Roman" w:hAnsi="Times New Roman"/>
          <w:b w:val="0"/>
          <w:color w:val="000000"/>
          <w:sz w:val="24"/>
        </w:rPr>
        <w:t>报告期内公司总股本保持148,000,000股不变，股本结构未发生变化。报告期末股东总数为18,650户。</w:t>
      </w:r>
    </w:p>
    <w:p>
      <w:pPr>
        <w:spacing w:before="240" w:after="120"/>
      </w:pPr>
      <w:r>
        <w:rPr>
          <w:rFonts w:eastAsia="SimHei" w:ascii="Times New Roman" w:hAnsi="Times New Roman"/>
          <w:b/>
          <w:color w:val="000000"/>
          <w:sz w:val="28"/>
        </w:rPr>
        <w:t>一、前十大股东持股情况</w:t>
      </w:r>
    </w:p>
    <w:p>
      <w:pPr>
        <w:spacing w:line="480" w:lineRule="exact"/>
        <w:ind w:firstLine="480"/>
      </w:pPr>
      <w:r>
        <w:rPr>
          <w:rFonts w:eastAsia="SimSun" w:ascii="Times New Roman" w:hAnsi="Times New Roman"/>
          <w:b w:val="0"/>
          <w:color w:val="000000"/>
          <w:sz w:val="24"/>
        </w:rPr>
        <w:t>报告期末前十大股东持股情况如下，公司股权结构稳定，不存在质押、冻结导致控制权变动的风险：</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股东名称</w:t>
            </w:r>
          </w:p>
        </w:tc>
        <w:tc>
          <w:tcPr>
            <w:tcW w:type="dxa" w:w="2197"/>
          </w:tcPr>
          <w:p>
            <w:pPr>
              <w:jc w:val="center"/>
            </w:pPr>
            <w:r/>
            <w:r>
              <w:rPr>
                <w:rFonts w:eastAsia="SimSun" w:ascii="Times New Roman" w:hAnsi="Times New Roman"/>
                <w:b/>
                <w:color w:val="111827"/>
                <w:sz w:val="21"/>
              </w:rPr>
              <w:t>持股数量(股)</w:t>
            </w:r>
          </w:p>
        </w:tc>
        <w:tc>
          <w:tcPr>
            <w:tcW w:type="dxa" w:w="2197"/>
          </w:tcPr>
          <w:p>
            <w:pPr>
              <w:jc w:val="center"/>
            </w:pPr>
            <w:r/>
            <w:r>
              <w:rPr>
                <w:rFonts w:eastAsia="SimSun" w:ascii="Times New Roman" w:hAnsi="Times New Roman"/>
                <w:b/>
                <w:color w:val="111827"/>
                <w:sz w:val="21"/>
              </w:rPr>
              <w:t>持股比例</w:t>
            </w:r>
          </w:p>
        </w:tc>
        <w:tc>
          <w:tcPr>
            <w:tcW w:type="dxa" w:w="2197"/>
          </w:tcPr>
          <w:p>
            <w:pPr>
              <w:jc w:val="center"/>
            </w:pPr>
            <w:r/>
            <w:r>
              <w:rPr>
                <w:rFonts w:eastAsia="SimSun" w:ascii="Times New Roman" w:hAnsi="Times New Roman"/>
                <w:b/>
                <w:color w:val="111827"/>
                <w:sz w:val="21"/>
              </w:rPr>
              <w:t>股份性质</w:t>
            </w:r>
          </w:p>
        </w:tc>
      </w:tr>
      <w:tr>
        <w:tc>
          <w:tcPr>
            <w:tcW w:type="dxa" w:w="2197"/>
          </w:tcPr>
          <w:p>
            <w:pPr>
              <w:jc w:val="left"/>
            </w:pPr>
            <w:r/>
            <w:r>
              <w:rPr>
                <w:rFonts w:eastAsia="SimSun" w:ascii="Times New Roman" w:hAnsi="Times New Roman"/>
                <w:color w:val="4B5563"/>
                <w:sz w:val="18"/>
              </w:rPr>
              <w:t>云栖控股集团有限公司</w:t>
            </w:r>
          </w:p>
        </w:tc>
        <w:tc>
          <w:tcPr>
            <w:tcW w:type="dxa" w:w="2197"/>
          </w:tcPr>
          <w:p>
            <w:pPr>
              <w:jc w:val="left"/>
            </w:pPr>
            <w:r/>
            <w:r>
              <w:rPr>
                <w:rFonts w:eastAsia="SimSun" w:ascii="Times New Roman" w:hAnsi="Times New Roman"/>
                <w:color w:val="4B5563"/>
                <w:sz w:val="18"/>
              </w:rPr>
              <w:t>51800000</w:t>
            </w:r>
          </w:p>
        </w:tc>
        <w:tc>
          <w:tcPr>
            <w:tcW w:type="dxa" w:w="2197"/>
          </w:tcPr>
          <w:p>
            <w:pPr>
              <w:jc w:val="left"/>
            </w:pPr>
            <w:r/>
            <w:r>
              <w:rPr>
                <w:rFonts w:eastAsia="SimSun" w:ascii="Times New Roman" w:hAnsi="Times New Roman"/>
                <w:color w:val="4B5563"/>
                <w:sz w:val="18"/>
              </w:rPr>
              <w:t>35.00%</w:t>
            </w:r>
          </w:p>
        </w:tc>
        <w:tc>
          <w:tcPr>
            <w:tcW w:type="dxa" w:w="2197"/>
          </w:tcPr>
          <w:p>
            <w:pPr>
              <w:jc w:val="left"/>
            </w:pPr>
            <w:r/>
            <w:r>
              <w:rPr>
                <w:rFonts w:eastAsia="SimSun" w:ascii="Times New Roman" w:hAnsi="Times New Roman"/>
                <w:color w:val="4B5563"/>
                <w:sz w:val="18"/>
              </w:rPr>
              <w:t>限售流通股</w:t>
            </w:r>
          </w:p>
        </w:tc>
      </w:tr>
      <w:tr>
        <w:tc>
          <w:tcPr>
            <w:tcW w:type="dxa" w:w="2197"/>
          </w:tcPr>
          <w:p>
            <w:pPr>
              <w:jc w:val="left"/>
            </w:pPr>
            <w:r/>
            <w:r>
              <w:rPr>
                <w:rFonts w:eastAsia="SimSun" w:ascii="Times New Roman" w:hAnsi="Times New Roman"/>
                <w:color w:val="4B5563"/>
                <w:sz w:val="18"/>
              </w:rPr>
              <w:t>杭州创智股权投资合伙企业</w:t>
            </w:r>
          </w:p>
        </w:tc>
        <w:tc>
          <w:tcPr>
            <w:tcW w:type="dxa" w:w="2197"/>
          </w:tcPr>
          <w:p>
            <w:pPr>
              <w:jc w:val="left"/>
            </w:pPr>
            <w:r/>
            <w:r>
              <w:rPr>
                <w:rFonts w:eastAsia="SimSun" w:ascii="Times New Roman" w:hAnsi="Times New Roman"/>
                <w:color w:val="4B5563"/>
                <w:sz w:val="18"/>
              </w:rPr>
              <w:t>17760000</w:t>
            </w:r>
          </w:p>
        </w:tc>
        <w:tc>
          <w:tcPr>
            <w:tcW w:type="dxa" w:w="2197"/>
          </w:tcPr>
          <w:p>
            <w:pPr>
              <w:jc w:val="left"/>
            </w:pPr>
            <w:r/>
            <w:r>
              <w:rPr>
                <w:rFonts w:eastAsia="SimSun" w:ascii="Times New Roman" w:hAnsi="Times New Roman"/>
                <w:color w:val="4B5563"/>
                <w:sz w:val="18"/>
              </w:rPr>
              <w:t>12.00%</w:t>
            </w:r>
          </w:p>
        </w:tc>
        <w:tc>
          <w:tcPr>
            <w:tcW w:type="dxa" w:w="2197"/>
          </w:tcPr>
          <w:p>
            <w:pPr>
              <w:jc w:val="left"/>
            </w:pPr>
            <w:r/>
            <w:r>
              <w:rPr>
                <w:rFonts w:eastAsia="SimSun" w:ascii="Times New Roman" w:hAnsi="Times New Roman"/>
                <w:color w:val="4B5563"/>
                <w:sz w:val="18"/>
              </w:rPr>
              <w:t>流通股</w:t>
            </w:r>
          </w:p>
        </w:tc>
      </w:tr>
      <w:tr>
        <w:tc>
          <w:tcPr>
            <w:tcW w:type="dxa" w:w="2197"/>
          </w:tcPr>
          <w:p>
            <w:pPr>
              <w:jc w:val="left"/>
            </w:pPr>
            <w:r/>
            <w:r>
              <w:rPr>
                <w:rFonts w:eastAsia="SimSun" w:ascii="Times New Roman" w:hAnsi="Times New Roman"/>
                <w:color w:val="4B5563"/>
                <w:sz w:val="18"/>
              </w:rPr>
              <w:t>全国社保基金一一三组合</w:t>
            </w:r>
          </w:p>
        </w:tc>
        <w:tc>
          <w:tcPr>
            <w:tcW w:type="dxa" w:w="2197"/>
          </w:tcPr>
          <w:p>
            <w:pPr>
              <w:jc w:val="left"/>
            </w:pPr>
            <w:r/>
            <w:r>
              <w:rPr>
                <w:rFonts w:eastAsia="SimSun" w:ascii="Times New Roman" w:hAnsi="Times New Roman"/>
                <w:color w:val="4B5563"/>
                <w:sz w:val="18"/>
              </w:rPr>
              <w:t>8880000</w:t>
            </w:r>
          </w:p>
        </w:tc>
        <w:tc>
          <w:tcPr>
            <w:tcW w:type="dxa" w:w="2197"/>
          </w:tcPr>
          <w:p>
            <w:pPr>
              <w:jc w:val="left"/>
            </w:pPr>
            <w:r/>
            <w:r>
              <w:rPr>
                <w:rFonts w:eastAsia="SimSun" w:ascii="Times New Roman" w:hAnsi="Times New Roman"/>
                <w:color w:val="4B5563"/>
                <w:sz w:val="18"/>
              </w:rPr>
              <w:t>6.00%</w:t>
            </w:r>
          </w:p>
        </w:tc>
        <w:tc>
          <w:tcPr>
            <w:tcW w:type="dxa" w:w="2197"/>
          </w:tcPr>
          <w:p>
            <w:pPr>
              <w:jc w:val="left"/>
            </w:pPr>
            <w:r/>
            <w:r>
              <w:rPr>
                <w:rFonts w:eastAsia="SimSun" w:ascii="Times New Roman" w:hAnsi="Times New Roman"/>
                <w:color w:val="4B5563"/>
                <w:sz w:val="18"/>
              </w:rPr>
              <w:t>流通股</w:t>
            </w:r>
          </w:p>
        </w:tc>
      </w:tr>
      <w:tr>
        <w:tc>
          <w:tcPr>
            <w:tcW w:type="dxa" w:w="2197"/>
          </w:tcPr>
          <w:p>
            <w:pPr>
              <w:jc w:val="left"/>
            </w:pPr>
            <w:r/>
            <w:r>
              <w:rPr>
                <w:rFonts w:eastAsia="SimSun" w:ascii="Times New Roman" w:hAnsi="Times New Roman"/>
                <w:color w:val="4B5563"/>
                <w:sz w:val="18"/>
              </w:rPr>
              <w:t>香港中央结算有限公司</w:t>
            </w:r>
          </w:p>
        </w:tc>
        <w:tc>
          <w:tcPr>
            <w:tcW w:type="dxa" w:w="2197"/>
          </w:tcPr>
          <w:p>
            <w:pPr>
              <w:jc w:val="left"/>
            </w:pPr>
            <w:r/>
            <w:r>
              <w:rPr>
                <w:rFonts w:eastAsia="SimSun" w:ascii="Times New Roman" w:hAnsi="Times New Roman"/>
                <w:color w:val="4B5563"/>
                <w:sz w:val="18"/>
              </w:rPr>
              <w:t>5920000</w:t>
            </w:r>
          </w:p>
        </w:tc>
        <w:tc>
          <w:tcPr>
            <w:tcW w:type="dxa" w:w="2197"/>
          </w:tcPr>
          <w:p>
            <w:pPr>
              <w:jc w:val="left"/>
            </w:pPr>
            <w:r/>
            <w:r>
              <w:rPr>
                <w:rFonts w:eastAsia="SimSun" w:ascii="Times New Roman" w:hAnsi="Times New Roman"/>
                <w:color w:val="4B5563"/>
                <w:sz w:val="18"/>
              </w:rPr>
              <w:t>4.00%</w:t>
            </w:r>
          </w:p>
        </w:tc>
        <w:tc>
          <w:tcPr>
            <w:tcW w:type="dxa" w:w="2197"/>
          </w:tcPr>
          <w:p>
            <w:pPr>
              <w:jc w:val="left"/>
            </w:pPr>
            <w:r/>
            <w:r>
              <w:rPr>
                <w:rFonts w:eastAsia="SimSun" w:ascii="Times New Roman" w:hAnsi="Times New Roman"/>
                <w:color w:val="4B5563"/>
                <w:sz w:val="18"/>
              </w:rPr>
              <w:t>流通股</w:t>
            </w:r>
          </w:p>
        </w:tc>
      </w:tr>
      <w:tr>
        <w:tc>
          <w:tcPr>
            <w:tcW w:type="dxa" w:w="2197"/>
          </w:tcPr>
          <w:p>
            <w:pPr>
              <w:jc w:val="left"/>
            </w:pPr>
            <w:r/>
            <w:r>
              <w:rPr>
                <w:rFonts w:eastAsia="SimSun" w:ascii="Times New Roman" w:hAnsi="Times New Roman"/>
                <w:color w:val="4B5563"/>
                <w:sz w:val="18"/>
              </w:rPr>
              <w:t>其他股东</w:t>
            </w:r>
          </w:p>
        </w:tc>
        <w:tc>
          <w:tcPr>
            <w:tcW w:type="dxa" w:w="2197"/>
          </w:tcPr>
          <w:p>
            <w:pPr>
              <w:jc w:val="left"/>
            </w:pPr>
            <w:r/>
            <w:r>
              <w:rPr>
                <w:rFonts w:eastAsia="SimSun" w:ascii="Times New Roman" w:hAnsi="Times New Roman"/>
                <w:color w:val="4B5563"/>
                <w:sz w:val="18"/>
              </w:rPr>
              <w:t>63640000</w:t>
            </w:r>
          </w:p>
        </w:tc>
        <w:tc>
          <w:tcPr>
            <w:tcW w:type="dxa" w:w="2197"/>
          </w:tcPr>
          <w:p>
            <w:pPr>
              <w:jc w:val="left"/>
            </w:pPr>
            <w:r/>
            <w:r>
              <w:rPr>
                <w:rFonts w:eastAsia="SimSun" w:ascii="Times New Roman" w:hAnsi="Times New Roman"/>
                <w:color w:val="4B5563"/>
                <w:sz w:val="18"/>
              </w:rPr>
              <w:t>43.00%</w:t>
            </w:r>
          </w:p>
        </w:tc>
        <w:tc>
          <w:tcPr>
            <w:tcW w:type="dxa" w:w="2197"/>
          </w:tcPr>
          <w:p>
            <w:pPr>
              <w:jc w:val="left"/>
            </w:pPr>
            <w:r/>
            <w:r>
              <w:rPr>
                <w:rFonts w:eastAsia="SimSun" w:ascii="Times New Roman" w:hAnsi="Times New Roman"/>
                <w:color w:val="4B5563"/>
                <w:sz w:val="18"/>
              </w:rPr>
              <w:t>流通股</w:t>
            </w:r>
          </w:p>
        </w:tc>
      </w:tr>
    </w:tbl>
    <w:p>
      <w:pPr>
        <w:spacing w:before="240" w:after="120"/>
      </w:pPr>
      <w:r>
        <w:rPr>
          <w:rFonts w:eastAsia="SimHei" w:ascii="Times New Roman" w:hAnsi="Times New Roman"/>
          <w:b/>
          <w:color w:val="000000"/>
          <w:sz w:val="28"/>
        </w:rPr>
        <w:t>二、利润分配预案</w:t>
      </w:r>
    </w:p>
    <w:p>
      <w:pPr>
        <w:spacing w:line="480" w:lineRule="exact"/>
        <w:ind w:firstLine="480"/>
      </w:pPr>
      <w:r>
        <w:rPr>
          <w:rFonts w:eastAsia="SimSun" w:ascii="Times New Roman" w:hAnsi="Times New Roman"/>
          <w:b w:val="0"/>
          <w:color w:val="000000"/>
          <w:sz w:val="24"/>
        </w:rPr>
        <w:t>公司2025年度利润分配预案为：以总股本148,000,000股为基数，向全体股东每10股派发现金红利5.00元（含税），合计派发现金红利7,400.00万元，占当年归属于上市公司股东净利润的31.56%，不送红股、不以资本公积金转增股本。该预案尚需提交公司2025年年度股东大会审议。</w:t>
      </w:r>
    </w:p>
    <w:p>
      <w:pPr>
        <w:spacing w:before="240" w:after="120"/>
      </w:pPr>
      <w:r>
        <w:rPr>
          <w:rFonts w:eastAsia="SimHei" w:ascii="Times New Roman" w:hAnsi="Times New Roman"/>
          <w:b/>
          <w:color w:val="000000"/>
          <w:sz w:val="28"/>
        </w:rPr>
        <w:t>风险因素</w:t>
      </w:r>
    </w:p>
    <w:p>
      <w:pPr>
        <w:spacing w:line="480" w:lineRule="exact"/>
        <w:ind w:firstLine="480"/>
      </w:pPr>
      <w:r>
        <w:rPr>
          <w:rFonts w:eastAsia="SimSun" w:ascii="Times New Roman" w:hAnsi="Times New Roman"/>
          <w:b w:val="0"/>
          <w:color w:val="000000"/>
          <w:sz w:val="24"/>
        </w:rPr>
        <w:t>1. 市场竞争加剧风险：工业AI赛道参与者增多，若公司不能持续保持技术与产品领先，可能面临市场份额和毛利率下降的风险。</w:t>
      </w:r>
    </w:p>
    <w:p>
      <w:pPr>
        <w:spacing w:line="480" w:lineRule="exact"/>
        <w:ind w:firstLine="480"/>
      </w:pPr>
      <w:r>
        <w:rPr>
          <w:rFonts w:eastAsia="SimSun" w:ascii="Times New Roman" w:hAnsi="Times New Roman"/>
          <w:b w:val="0"/>
          <w:color w:val="000000"/>
          <w:sz w:val="24"/>
        </w:rPr>
        <w:t>2. 技术迭代风险：人工智能与机器视觉技术更新迭代快，若研发投入未能转化为有效产品，将影响公司竞争力。</w:t>
      </w:r>
    </w:p>
    <w:p>
      <w:pPr>
        <w:spacing w:line="480" w:lineRule="exact"/>
        <w:ind w:firstLine="480"/>
      </w:pPr>
      <w:r>
        <w:rPr>
          <w:rFonts w:eastAsia="SimSun" w:ascii="Times New Roman" w:hAnsi="Times New Roman"/>
          <w:b w:val="0"/>
          <w:color w:val="000000"/>
          <w:sz w:val="24"/>
        </w:rPr>
        <w:t>3. 客户集中风险：公司下游集中于新能源、半导体等行业，若主要行业景气度下行，可能对公司经营业绩造成不利影响。</w:t>
      </w:r>
    </w:p>
    <w:p>
      <w:pPr>
        <w:spacing w:line="480" w:lineRule="exact"/>
        <w:ind w:firstLine="480"/>
      </w:pPr>
      <w:r>
        <w:rPr>
          <w:rFonts w:eastAsia="SimSun" w:ascii="Times New Roman" w:hAnsi="Times New Roman"/>
          <w:b w:val="0"/>
          <w:color w:val="000000"/>
          <w:sz w:val="24"/>
        </w:rPr>
        <w:t>4. 应收账款回收风险：随着业务规模扩大，应收账款余额上升，若客户经营状况恶化，存在一定坏账风险。</w:t>
      </w:r>
    </w:p>
    <w:p>
      <w:pPr>
        <w:spacing w:before="240" w:after="120"/>
        <w:jc w:val="center"/>
      </w:pPr>
      <w:r>
        <w:rPr>
          <w:rFonts w:eastAsia="SimHei" w:ascii="Times New Roman" w:hAnsi="Times New Roman"/>
          <w:b/>
          <w:color w:val="000000"/>
          <w:sz w:val="32"/>
        </w:rPr>
        <w:t>财务报表主要数据</w:t>
      </w:r>
    </w:p>
    <w:p>
      <w:pPr>
        <w:spacing w:before="240" w:after="120"/>
      </w:pPr>
      <w:r>
        <w:rPr>
          <w:rFonts w:eastAsia="SimHei" w:ascii="Times New Roman" w:hAnsi="Times New Roman"/>
          <w:b/>
          <w:color w:val="000000"/>
          <w:sz w:val="28"/>
        </w:rPr>
        <w:t>资产负债表主要数据</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项目</w:t>
            </w:r>
          </w:p>
        </w:tc>
        <w:tc>
          <w:tcPr>
            <w:tcW w:type="dxa" w:w="2197"/>
          </w:tcPr>
          <w:p>
            <w:pPr>
              <w:jc w:val="center"/>
            </w:pPr>
            <w:r/>
            <w:r>
              <w:rPr>
                <w:rFonts w:eastAsia="SimSun" w:ascii="Times New Roman" w:hAnsi="Times New Roman"/>
                <w:b/>
                <w:color w:val="111827"/>
                <w:sz w:val="21"/>
              </w:rPr>
              <w:t>本期</w:t>
            </w:r>
          </w:p>
        </w:tc>
        <w:tc>
          <w:tcPr>
            <w:tcW w:type="dxa" w:w="2197"/>
          </w:tcPr>
          <w:p>
            <w:pPr>
              <w:jc w:val="center"/>
            </w:pPr>
            <w:r/>
            <w:r>
              <w:rPr>
                <w:rFonts w:eastAsia="SimSun" w:ascii="Times New Roman" w:hAnsi="Times New Roman"/>
                <w:b/>
                <w:color w:val="111827"/>
                <w:sz w:val="21"/>
              </w:rPr>
              <w:t>上年同期</w:t>
            </w:r>
          </w:p>
        </w:tc>
        <w:tc>
          <w:tcPr>
            <w:tcW w:type="dxa" w:w="2197"/>
          </w:tcPr>
          <w:p>
            <w:pPr>
              <w:jc w:val="center"/>
            </w:pPr>
            <w:r/>
            <w:r>
              <w:rPr>
                <w:rFonts w:eastAsia="SimSun" w:ascii="Times New Roman" w:hAnsi="Times New Roman"/>
                <w:b/>
                <w:color w:val="111827"/>
                <w:sz w:val="21"/>
              </w:rPr>
              <w:t>本期比上年增减</w:t>
            </w:r>
          </w:p>
        </w:tc>
      </w:tr>
      <w:tr>
        <w:tc>
          <w:tcPr>
            <w:tcW w:type="dxa" w:w="2197"/>
          </w:tcPr>
          <w:p>
            <w:pPr>
              <w:jc w:val="left"/>
            </w:pPr>
            <w:r/>
            <w:r>
              <w:rPr>
                <w:rFonts w:eastAsia="SimSun" w:ascii="Times New Roman" w:hAnsi="Times New Roman"/>
                <w:color w:val="4B5563"/>
                <w:sz w:val="18"/>
              </w:rPr>
              <w:t>资产总计（万元）</w:t>
            </w:r>
          </w:p>
        </w:tc>
        <w:tc>
          <w:tcPr>
            <w:tcW w:type="dxa" w:w="2197"/>
          </w:tcPr>
          <w:p>
            <w:pPr>
              <w:jc w:val="right"/>
            </w:pPr>
            <w:r/>
            <w:r>
              <w:rPr>
                <w:rFonts w:eastAsia="SimSun" w:ascii="Times New Roman" w:hAnsi="Times New Roman"/>
                <w:color w:val="4B5563"/>
                <w:sz w:val="18"/>
              </w:rPr>
              <w:t>489600.00</w:t>
            </w:r>
          </w:p>
        </w:tc>
        <w:tc>
          <w:tcPr>
            <w:tcW w:type="dxa" w:w="2197"/>
          </w:tcPr>
          <w:p>
            <w:pPr>
              <w:jc w:val="right"/>
            </w:pPr>
            <w:r/>
            <w:r>
              <w:rPr>
                <w:rFonts w:eastAsia="SimSun" w:ascii="Times New Roman" w:hAnsi="Times New Roman"/>
                <w:color w:val="4B5563"/>
                <w:sz w:val="18"/>
              </w:rPr>
              <w:t>412300.00</w:t>
            </w:r>
          </w:p>
        </w:tc>
        <w:tc>
          <w:tcPr>
            <w:tcW w:type="dxa" w:w="2197"/>
          </w:tcPr>
          <w:p>
            <w:pPr>
              <w:jc w:val="right"/>
            </w:pPr>
            <w:r/>
            <w:r>
              <w:rPr>
                <w:rFonts w:eastAsia="SimSun" w:ascii="Times New Roman" w:hAnsi="Times New Roman"/>
                <w:color w:val="4B5563"/>
                <w:sz w:val="18"/>
              </w:rPr>
              <w:t>18.75%</w:t>
            </w:r>
          </w:p>
        </w:tc>
      </w:tr>
      <w:tr>
        <w:tc>
          <w:tcPr>
            <w:tcW w:type="dxa" w:w="2197"/>
          </w:tcPr>
          <w:p>
            <w:pPr>
              <w:jc w:val="left"/>
            </w:pPr>
            <w:r/>
            <w:r>
              <w:rPr>
                <w:rFonts w:eastAsia="SimSun" w:ascii="Times New Roman" w:hAnsi="Times New Roman"/>
                <w:color w:val="4B5563"/>
                <w:sz w:val="18"/>
              </w:rPr>
              <w:t>负债合计（万元）</w:t>
            </w:r>
          </w:p>
        </w:tc>
        <w:tc>
          <w:tcPr>
            <w:tcW w:type="dxa" w:w="2197"/>
          </w:tcPr>
          <w:p>
            <w:pPr>
              <w:jc w:val="right"/>
            </w:pPr>
            <w:r/>
            <w:r>
              <w:rPr>
                <w:rFonts w:eastAsia="SimSun" w:ascii="Times New Roman" w:hAnsi="Times New Roman"/>
                <w:color w:val="4B5563"/>
                <w:sz w:val="18"/>
              </w:rPr>
              <w:t>196300.00</w:t>
            </w:r>
          </w:p>
        </w:tc>
        <w:tc>
          <w:tcPr>
            <w:tcW w:type="dxa" w:w="2197"/>
          </w:tcPr>
          <w:p>
            <w:pPr>
              <w:jc w:val="right"/>
            </w:pPr>
            <w:r/>
            <w:r>
              <w:rPr>
                <w:rFonts w:eastAsia="SimSun" w:ascii="Times New Roman" w:hAnsi="Times New Roman"/>
                <w:color w:val="4B5563"/>
                <w:sz w:val="18"/>
              </w:rPr>
              <w:t>178400.00</w:t>
            </w:r>
          </w:p>
        </w:tc>
        <w:tc>
          <w:tcPr>
            <w:tcW w:type="dxa" w:w="2197"/>
          </w:tcPr>
          <w:p>
            <w:pPr>
              <w:jc w:val="right"/>
            </w:pPr>
            <w:r/>
            <w:r>
              <w:rPr>
                <w:rFonts w:eastAsia="SimSun" w:ascii="Times New Roman" w:hAnsi="Times New Roman"/>
                <w:color w:val="4B5563"/>
                <w:sz w:val="18"/>
              </w:rPr>
              <w:t>10.03%</w:t>
            </w:r>
          </w:p>
        </w:tc>
      </w:tr>
      <w:tr>
        <w:tc>
          <w:tcPr>
            <w:tcW w:type="dxa" w:w="2197"/>
          </w:tcPr>
          <w:p>
            <w:pPr>
              <w:jc w:val="left"/>
            </w:pPr>
            <w:r/>
            <w:r>
              <w:rPr>
                <w:rFonts w:eastAsia="SimSun" w:ascii="Times New Roman" w:hAnsi="Times New Roman"/>
                <w:color w:val="4B5563"/>
                <w:sz w:val="18"/>
              </w:rPr>
              <w:t>归属于上市公司股东的所有者权益（万元）</w:t>
            </w:r>
          </w:p>
        </w:tc>
        <w:tc>
          <w:tcPr>
            <w:tcW w:type="dxa" w:w="2197"/>
          </w:tcPr>
          <w:p>
            <w:pPr>
              <w:jc w:val="right"/>
            </w:pPr>
            <w:r/>
            <w:r>
              <w:rPr>
                <w:rFonts w:eastAsia="SimSun" w:ascii="Times New Roman" w:hAnsi="Times New Roman"/>
                <w:color w:val="4B5563"/>
                <w:sz w:val="18"/>
              </w:rPr>
              <w:t>285600.00</w:t>
            </w:r>
          </w:p>
        </w:tc>
        <w:tc>
          <w:tcPr>
            <w:tcW w:type="dxa" w:w="2197"/>
          </w:tcPr>
          <w:p>
            <w:pPr>
              <w:jc w:val="right"/>
            </w:pPr>
            <w:r/>
            <w:r>
              <w:rPr>
                <w:rFonts w:eastAsia="SimSun" w:ascii="Times New Roman" w:hAnsi="Times New Roman"/>
                <w:color w:val="4B5563"/>
                <w:sz w:val="18"/>
              </w:rPr>
              <w:t>228900.00</w:t>
            </w:r>
          </w:p>
        </w:tc>
        <w:tc>
          <w:tcPr>
            <w:tcW w:type="dxa" w:w="2197"/>
          </w:tcPr>
          <w:p>
            <w:pPr>
              <w:jc w:val="right"/>
            </w:pPr>
            <w:r/>
            <w:r>
              <w:rPr>
                <w:rFonts w:eastAsia="SimSun" w:ascii="Times New Roman" w:hAnsi="Times New Roman"/>
                <w:color w:val="4B5563"/>
                <w:sz w:val="18"/>
              </w:rPr>
              <w:t>24.77%</w:t>
            </w:r>
          </w:p>
        </w:tc>
      </w:tr>
      <w:tr>
        <w:tc>
          <w:tcPr>
            <w:tcW w:type="dxa" w:w="2197"/>
          </w:tcPr>
          <w:p>
            <w:pPr>
              <w:jc w:val="left"/>
            </w:pPr>
            <w:r/>
            <w:r>
              <w:rPr>
                <w:rFonts w:eastAsia="SimSun" w:ascii="Times New Roman" w:hAnsi="Times New Roman"/>
                <w:color w:val="4B5563"/>
                <w:sz w:val="18"/>
              </w:rPr>
              <w:t>资产负债率（%）</w:t>
            </w:r>
          </w:p>
        </w:tc>
        <w:tc>
          <w:tcPr>
            <w:tcW w:type="dxa" w:w="2197"/>
          </w:tcPr>
          <w:p>
            <w:pPr>
              <w:jc w:val="right"/>
            </w:pPr>
            <w:r/>
            <w:r>
              <w:rPr>
                <w:rFonts w:eastAsia="SimSun" w:ascii="Times New Roman" w:hAnsi="Times New Roman"/>
                <w:color w:val="4B5563"/>
                <w:sz w:val="18"/>
              </w:rPr>
              <w:t>40.10</w:t>
            </w:r>
          </w:p>
        </w:tc>
        <w:tc>
          <w:tcPr>
            <w:tcW w:type="dxa" w:w="2197"/>
          </w:tcPr>
          <w:p>
            <w:pPr>
              <w:jc w:val="right"/>
            </w:pPr>
            <w:r/>
            <w:r>
              <w:rPr>
                <w:rFonts w:eastAsia="SimSun" w:ascii="Times New Roman" w:hAnsi="Times New Roman"/>
                <w:color w:val="4B5563"/>
                <w:sz w:val="18"/>
              </w:rPr>
              <w:t>43.27</w:t>
            </w:r>
          </w:p>
        </w:tc>
        <w:tc>
          <w:tcPr>
            <w:tcW w:type="dxa" w:w="2197"/>
          </w:tcPr>
          <w:p>
            <w:pPr>
              <w:jc w:val="right"/>
            </w:pPr>
            <w:r/>
            <w:r>
              <w:rPr>
                <w:rFonts w:eastAsia="SimSun" w:ascii="Times New Roman" w:hAnsi="Times New Roman"/>
                <w:color w:val="4B5563"/>
                <w:sz w:val="18"/>
              </w:rPr>
              <w:t>-7.33%</w:t>
            </w:r>
          </w:p>
        </w:tc>
      </w:tr>
    </w:tbl>
    <w:p>
      <w:pPr>
        <w:spacing w:before="240" w:after="120"/>
      </w:pPr>
      <w:r>
        <w:rPr>
          <w:rFonts w:eastAsia="SimHei" w:ascii="Times New Roman" w:hAnsi="Times New Roman"/>
          <w:b/>
          <w:color w:val="000000"/>
          <w:sz w:val="28"/>
        </w:rPr>
        <w:t>利润表主要数据</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项目</w:t>
            </w:r>
          </w:p>
        </w:tc>
        <w:tc>
          <w:tcPr>
            <w:tcW w:type="dxa" w:w="2197"/>
          </w:tcPr>
          <w:p>
            <w:pPr>
              <w:jc w:val="center"/>
            </w:pPr>
            <w:r/>
            <w:r>
              <w:rPr>
                <w:rFonts w:eastAsia="SimSun" w:ascii="Times New Roman" w:hAnsi="Times New Roman"/>
                <w:b/>
                <w:color w:val="111827"/>
                <w:sz w:val="21"/>
              </w:rPr>
              <w:t>本期</w:t>
            </w:r>
          </w:p>
        </w:tc>
        <w:tc>
          <w:tcPr>
            <w:tcW w:type="dxa" w:w="2197"/>
          </w:tcPr>
          <w:p>
            <w:pPr>
              <w:jc w:val="center"/>
            </w:pPr>
            <w:r/>
            <w:r>
              <w:rPr>
                <w:rFonts w:eastAsia="SimSun" w:ascii="Times New Roman" w:hAnsi="Times New Roman"/>
                <w:b/>
                <w:color w:val="111827"/>
                <w:sz w:val="21"/>
              </w:rPr>
              <w:t>上年同期</w:t>
            </w:r>
          </w:p>
        </w:tc>
        <w:tc>
          <w:tcPr>
            <w:tcW w:type="dxa" w:w="2197"/>
          </w:tcPr>
          <w:p>
            <w:pPr>
              <w:jc w:val="center"/>
            </w:pPr>
            <w:r/>
            <w:r>
              <w:rPr>
                <w:rFonts w:eastAsia="SimSun" w:ascii="Times New Roman" w:hAnsi="Times New Roman"/>
                <w:b/>
                <w:color w:val="111827"/>
                <w:sz w:val="21"/>
              </w:rPr>
              <w:t>本期比上年增减</w:t>
            </w:r>
          </w:p>
        </w:tc>
      </w:tr>
      <w:tr>
        <w:tc>
          <w:tcPr>
            <w:tcW w:type="dxa" w:w="2197"/>
          </w:tcPr>
          <w:p>
            <w:pPr>
              <w:jc w:val="left"/>
            </w:pPr>
            <w:r/>
            <w:r>
              <w:rPr>
                <w:rFonts w:eastAsia="SimSun" w:ascii="Times New Roman" w:hAnsi="Times New Roman"/>
                <w:color w:val="4B5563"/>
                <w:sz w:val="18"/>
              </w:rPr>
              <w:t>营业收入（万元）</w:t>
            </w:r>
          </w:p>
        </w:tc>
        <w:tc>
          <w:tcPr>
            <w:tcW w:type="dxa" w:w="2197"/>
          </w:tcPr>
          <w:p>
            <w:pPr>
              <w:jc w:val="right"/>
            </w:pPr>
            <w:r/>
            <w:r>
              <w:rPr>
                <w:rFonts w:eastAsia="SimSun" w:ascii="Times New Roman" w:hAnsi="Times New Roman"/>
                <w:color w:val="4B5563"/>
                <w:sz w:val="18"/>
              </w:rPr>
              <w:t>156800.00</w:t>
            </w:r>
          </w:p>
        </w:tc>
        <w:tc>
          <w:tcPr>
            <w:tcW w:type="dxa" w:w="2197"/>
          </w:tcPr>
          <w:p>
            <w:pPr>
              <w:jc w:val="right"/>
            </w:pPr>
            <w:r/>
            <w:r>
              <w:rPr>
                <w:rFonts w:eastAsia="SimSun" w:ascii="Times New Roman" w:hAnsi="Times New Roman"/>
                <w:color w:val="4B5563"/>
                <w:sz w:val="18"/>
              </w:rPr>
              <w:t>128500.00</w:t>
            </w:r>
          </w:p>
        </w:tc>
        <w:tc>
          <w:tcPr>
            <w:tcW w:type="dxa" w:w="2197"/>
          </w:tcPr>
          <w:p>
            <w:pPr>
              <w:jc w:val="right"/>
            </w:pPr>
            <w:r/>
            <w:r>
              <w:rPr>
                <w:rFonts w:eastAsia="SimSun" w:ascii="Times New Roman" w:hAnsi="Times New Roman"/>
                <w:color w:val="4B5563"/>
                <w:sz w:val="18"/>
              </w:rPr>
              <w:t>22.02%</w:t>
            </w:r>
          </w:p>
        </w:tc>
      </w:tr>
      <w:tr>
        <w:tc>
          <w:tcPr>
            <w:tcW w:type="dxa" w:w="2197"/>
          </w:tcPr>
          <w:p>
            <w:pPr>
              <w:jc w:val="left"/>
            </w:pPr>
            <w:r/>
            <w:r>
              <w:rPr>
                <w:rFonts w:eastAsia="SimSun" w:ascii="Times New Roman" w:hAnsi="Times New Roman"/>
                <w:color w:val="4B5563"/>
                <w:sz w:val="18"/>
              </w:rPr>
              <w:t>营业利润（万元）</w:t>
            </w:r>
          </w:p>
        </w:tc>
        <w:tc>
          <w:tcPr>
            <w:tcW w:type="dxa" w:w="2197"/>
          </w:tcPr>
          <w:p>
            <w:pPr>
              <w:jc w:val="right"/>
            </w:pPr>
            <w:r/>
            <w:r>
              <w:rPr>
                <w:rFonts w:eastAsia="SimSun" w:ascii="Times New Roman" w:hAnsi="Times New Roman"/>
                <w:color w:val="4B5563"/>
                <w:sz w:val="18"/>
              </w:rPr>
              <w:t>27600.00</w:t>
            </w:r>
          </w:p>
        </w:tc>
        <w:tc>
          <w:tcPr>
            <w:tcW w:type="dxa" w:w="2197"/>
          </w:tcPr>
          <w:p>
            <w:pPr>
              <w:jc w:val="right"/>
            </w:pPr>
            <w:r/>
            <w:r>
              <w:rPr>
                <w:rFonts w:eastAsia="SimSun" w:ascii="Times New Roman" w:hAnsi="Times New Roman"/>
                <w:color w:val="4B5563"/>
                <w:sz w:val="18"/>
              </w:rPr>
              <w:t>21300.00</w:t>
            </w:r>
          </w:p>
        </w:tc>
        <w:tc>
          <w:tcPr>
            <w:tcW w:type="dxa" w:w="2197"/>
          </w:tcPr>
          <w:p>
            <w:pPr>
              <w:jc w:val="right"/>
            </w:pPr>
            <w:r/>
            <w:r>
              <w:rPr>
                <w:rFonts w:eastAsia="SimSun" w:ascii="Times New Roman" w:hAnsi="Times New Roman"/>
                <w:color w:val="4B5563"/>
                <w:sz w:val="18"/>
              </w:rPr>
              <w:t>29.58%</w:t>
            </w:r>
          </w:p>
        </w:tc>
      </w:tr>
      <w:tr>
        <w:tc>
          <w:tcPr>
            <w:tcW w:type="dxa" w:w="2197"/>
          </w:tcPr>
          <w:p>
            <w:pPr>
              <w:jc w:val="left"/>
            </w:pPr>
            <w:r/>
            <w:r>
              <w:rPr>
                <w:rFonts w:eastAsia="SimSun" w:ascii="Times New Roman" w:hAnsi="Times New Roman"/>
                <w:color w:val="4B5563"/>
                <w:sz w:val="18"/>
              </w:rPr>
              <w:t>净利润（万元）</w:t>
            </w:r>
          </w:p>
        </w:tc>
        <w:tc>
          <w:tcPr>
            <w:tcW w:type="dxa" w:w="2197"/>
          </w:tcPr>
          <w:p>
            <w:pPr>
              <w:jc w:val="right"/>
            </w:pPr>
            <w:r/>
            <w:r>
              <w:rPr>
                <w:rFonts w:eastAsia="SimSun" w:ascii="Times New Roman" w:hAnsi="Times New Roman"/>
                <w:color w:val="4B5563"/>
                <w:sz w:val="18"/>
              </w:rPr>
              <w:t>23800.00</w:t>
            </w:r>
          </w:p>
        </w:tc>
        <w:tc>
          <w:tcPr>
            <w:tcW w:type="dxa" w:w="2197"/>
          </w:tcPr>
          <w:p>
            <w:pPr>
              <w:jc w:val="right"/>
            </w:pPr>
            <w:r/>
            <w:r>
              <w:rPr>
                <w:rFonts w:eastAsia="SimSun" w:ascii="Times New Roman" w:hAnsi="Times New Roman"/>
                <w:color w:val="4B5563"/>
                <w:sz w:val="18"/>
              </w:rPr>
              <w:t>18500.00</w:t>
            </w:r>
          </w:p>
        </w:tc>
        <w:tc>
          <w:tcPr>
            <w:tcW w:type="dxa" w:w="2197"/>
          </w:tcPr>
          <w:p>
            <w:pPr>
              <w:jc w:val="right"/>
            </w:pPr>
            <w:r/>
            <w:r>
              <w:rPr>
                <w:rFonts w:eastAsia="SimSun" w:ascii="Times New Roman" w:hAnsi="Times New Roman"/>
                <w:color w:val="4B5563"/>
                <w:sz w:val="18"/>
              </w:rPr>
              <w:t>28.65%</w:t>
            </w:r>
          </w:p>
        </w:tc>
      </w:tr>
      <w:tr>
        <w:tc>
          <w:tcPr>
            <w:tcW w:type="dxa" w:w="2197"/>
          </w:tcPr>
          <w:p>
            <w:pPr>
              <w:jc w:val="left"/>
            </w:pPr>
            <w:r/>
            <w:r>
              <w:rPr>
                <w:rFonts w:eastAsia="SimSun" w:ascii="Times New Roman" w:hAnsi="Times New Roman"/>
                <w:color w:val="4B5563"/>
                <w:sz w:val="18"/>
              </w:rPr>
              <w:t>归属于上市公司股东的净利润（万元）</w:t>
            </w:r>
          </w:p>
        </w:tc>
        <w:tc>
          <w:tcPr>
            <w:tcW w:type="dxa" w:w="2197"/>
          </w:tcPr>
          <w:p>
            <w:pPr>
              <w:jc w:val="right"/>
            </w:pPr>
            <w:r/>
            <w:r>
              <w:rPr>
                <w:rFonts w:eastAsia="SimSun" w:ascii="Times New Roman" w:hAnsi="Times New Roman"/>
                <w:color w:val="4B5563"/>
                <w:sz w:val="18"/>
              </w:rPr>
              <w:t>23450.00</w:t>
            </w:r>
          </w:p>
        </w:tc>
        <w:tc>
          <w:tcPr>
            <w:tcW w:type="dxa" w:w="2197"/>
          </w:tcPr>
          <w:p>
            <w:pPr>
              <w:jc w:val="right"/>
            </w:pPr>
            <w:r/>
            <w:r>
              <w:rPr>
                <w:rFonts w:eastAsia="SimSun" w:ascii="Times New Roman" w:hAnsi="Times New Roman"/>
                <w:color w:val="4B5563"/>
                <w:sz w:val="18"/>
              </w:rPr>
              <w:t>18200.00</w:t>
            </w:r>
          </w:p>
        </w:tc>
        <w:tc>
          <w:tcPr>
            <w:tcW w:type="dxa" w:w="2197"/>
          </w:tcPr>
          <w:p>
            <w:pPr>
              <w:jc w:val="right"/>
            </w:pPr>
            <w:r/>
            <w:r>
              <w:rPr>
                <w:rFonts w:eastAsia="SimSun" w:ascii="Times New Roman" w:hAnsi="Times New Roman"/>
                <w:color w:val="4B5563"/>
                <w:sz w:val="18"/>
              </w:rPr>
              <w:t>28.85%</w:t>
            </w:r>
          </w:p>
        </w:tc>
      </w:tr>
    </w:tbl>
    <w:p>
      <w:pPr>
        <w:spacing w:before="240" w:after="120"/>
      </w:pPr>
      <w:r>
        <w:rPr>
          <w:rFonts w:eastAsia="SimHei" w:ascii="Times New Roman" w:hAnsi="Times New Roman"/>
          <w:b/>
          <w:color w:val="000000"/>
          <w:sz w:val="28"/>
        </w:rPr>
        <w:t>现金流量表主要数据</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项目</w:t>
            </w:r>
          </w:p>
        </w:tc>
        <w:tc>
          <w:tcPr>
            <w:tcW w:type="dxa" w:w="2197"/>
          </w:tcPr>
          <w:p>
            <w:pPr>
              <w:jc w:val="center"/>
            </w:pPr>
            <w:r/>
            <w:r>
              <w:rPr>
                <w:rFonts w:eastAsia="SimSun" w:ascii="Times New Roman" w:hAnsi="Times New Roman"/>
                <w:b/>
                <w:color w:val="111827"/>
                <w:sz w:val="21"/>
              </w:rPr>
              <w:t>本期</w:t>
            </w:r>
          </w:p>
        </w:tc>
        <w:tc>
          <w:tcPr>
            <w:tcW w:type="dxa" w:w="2197"/>
          </w:tcPr>
          <w:p>
            <w:pPr>
              <w:jc w:val="center"/>
            </w:pPr>
            <w:r/>
            <w:r>
              <w:rPr>
                <w:rFonts w:eastAsia="SimSun" w:ascii="Times New Roman" w:hAnsi="Times New Roman"/>
                <w:b/>
                <w:color w:val="111827"/>
                <w:sz w:val="21"/>
              </w:rPr>
              <w:t>上年同期</w:t>
            </w:r>
          </w:p>
        </w:tc>
        <w:tc>
          <w:tcPr>
            <w:tcW w:type="dxa" w:w="2197"/>
          </w:tcPr>
          <w:p>
            <w:pPr>
              <w:jc w:val="center"/>
            </w:pPr>
            <w:r/>
            <w:r>
              <w:rPr>
                <w:rFonts w:eastAsia="SimSun" w:ascii="Times New Roman" w:hAnsi="Times New Roman"/>
                <w:b/>
                <w:color w:val="111827"/>
                <w:sz w:val="21"/>
              </w:rPr>
              <w:t>本期比上年增减</w:t>
            </w:r>
          </w:p>
        </w:tc>
      </w:tr>
      <w:tr>
        <w:tc>
          <w:tcPr>
            <w:tcW w:type="dxa" w:w="2197"/>
          </w:tcPr>
          <w:p>
            <w:pPr>
              <w:jc w:val="left"/>
            </w:pPr>
            <w:r/>
            <w:r>
              <w:rPr>
                <w:rFonts w:eastAsia="SimSun" w:ascii="Times New Roman" w:hAnsi="Times New Roman"/>
                <w:color w:val="4B5563"/>
                <w:sz w:val="18"/>
              </w:rPr>
              <w:t>经营活动产生的现金流量净额（万元）</w:t>
            </w:r>
          </w:p>
        </w:tc>
        <w:tc>
          <w:tcPr>
            <w:tcW w:type="dxa" w:w="2197"/>
          </w:tcPr>
          <w:p>
            <w:pPr>
              <w:jc w:val="right"/>
            </w:pPr>
            <w:r/>
            <w:r>
              <w:rPr>
                <w:rFonts w:eastAsia="SimSun" w:ascii="Times New Roman" w:hAnsi="Times New Roman"/>
                <w:color w:val="4B5563"/>
                <w:sz w:val="18"/>
              </w:rPr>
              <w:t>31200.00</w:t>
            </w:r>
          </w:p>
        </w:tc>
        <w:tc>
          <w:tcPr>
            <w:tcW w:type="dxa" w:w="2197"/>
          </w:tcPr>
          <w:p>
            <w:pPr>
              <w:jc w:val="right"/>
            </w:pPr>
            <w:r/>
            <w:r>
              <w:rPr>
                <w:rFonts w:eastAsia="SimSun" w:ascii="Times New Roman" w:hAnsi="Times New Roman"/>
                <w:color w:val="4B5563"/>
                <w:sz w:val="18"/>
              </w:rPr>
              <w:t>24600.00</w:t>
            </w:r>
          </w:p>
        </w:tc>
        <w:tc>
          <w:tcPr>
            <w:tcW w:type="dxa" w:w="2197"/>
          </w:tcPr>
          <w:p>
            <w:pPr>
              <w:jc w:val="right"/>
            </w:pPr>
            <w:r/>
            <w:r>
              <w:rPr>
                <w:rFonts w:eastAsia="SimSun" w:ascii="Times New Roman" w:hAnsi="Times New Roman"/>
                <w:color w:val="4B5563"/>
                <w:sz w:val="18"/>
              </w:rPr>
              <w:t>26.83%</w:t>
            </w:r>
          </w:p>
        </w:tc>
      </w:tr>
      <w:tr>
        <w:tc>
          <w:tcPr>
            <w:tcW w:type="dxa" w:w="2197"/>
          </w:tcPr>
          <w:p>
            <w:pPr>
              <w:jc w:val="left"/>
            </w:pPr>
            <w:r/>
            <w:r>
              <w:rPr>
                <w:rFonts w:eastAsia="SimSun" w:ascii="Times New Roman" w:hAnsi="Times New Roman"/>
                <w:color w:val="4B5563"/>
                <w:sz w:val="18"/>
              </w:rPr>
              <w:t>投资活动产生的现金流量净额（万元）</w:t>
            </w:r>
          </w:p>
        </w:tc>
        <w:tc>
          <w:tcPr>
            <w:tcW w:type="dxa" w:w="2197"/>
          </w:tcPr>
          <w:p>
            <w:pPr>
              <w:jc w:val="right"/>
            </w:pPr>
            <w:r/>
            <w:r>
              <w:rPr>
                <w:rFonts w:eastAsia="SimSun" w:ascii="Times New Roman" w:hAnsi="Times New Roman"/>
                <w:color w:val="4B5563"/>
                <w:sz w:val="18"/>
              </w:rPr>
              <w:t>-28400.00</w:t>
            </w:r>
          </w:p>
        </w:tc>
        <w:tc>
          <w:tcPr>
            <w:tcW w:type="dxa" w:w="2197"/>
          </w:tcPr>
          <w:p>
            <w:pPr>
              <w:jc w:val="right"/>
            </w:pPr>
            <w:r/>
            <w:r>
              <w:rPr>
                <w:rFonts w:eastAsia="SimSun" w:ascii="Times New Roman" w:hAnsi="Times New Roman"/>
                <w:color w:val="4B5563"/>
                <w:sz w:val="18"/>
              </w:rPr>
              <w:t>-19800.00</w:t>
            </w:r>
          </w:p>
        </w:tc>
        <w:tc>
          <w:tcPr>
            <w:tcW w:type="dxa" w:w="2197"/>
          </w:tcPr>
          <w:p>
            <w:pPr>
              <w:jc w:val="right"/>
            </w:pPr>
            <w:r/>
            <w:r>
              <w:rPr>
                <w:rFonts w:eastAsia="SimSun" w:ascii="Times New Roman" w:hAnsi="Times New Roman"/>
                <w:color w:val="4B5563"/>
                <w:sz w:val="18"/>
              </w:rPr>
              <w:t>-43.43%</w:t>
            </w:r>
          </w:p>
        </w:tc>
      </w:tr>
      <w:tr>
        <w:tc>
          <w:tcPr>
            <w:tcW w:type="dxa" w:w="2197"/>
          </w:tcPr>
          <w:p>
            <w:pPr>
              <w:jc w:val="left"/>
            </w:pPr>
            <w:r/>
            <w:r>
              <w:rPr>
                <w:rFonts w:eastAsia="SimSun" w:ascii="Times New Roman" w:hAnsi="Times New Roman"/>
                <w:color w:val="4B5563"/>
                <w:sz w:val="18"/>
              </w:rPr>
              <w:t>筹资活动产生的现金流量净额（万元）</w:t>
            </w:r>
          </w:p>
        </w:tc>
        <w:tc>
          <w:tcPr>
            <w:tcW w:type="dxa" w:w="2197"/>
          </w:tcPr>
          <w:p>
            <w:pPr>
              <w:jc w:val="right"/>
            </w:pPr>
            <w:r/>
            <w:r>
              <w:rPr>
                <w:rFonts w:eastAsia="SimSun" w:ascii="Times New Roman" w:hAnsi="Times New Roman"/>
                <w:color w:val="4B5563"/>
                <w:sz w:val="18"/>
              </w:rPr>
              <w:t>8600.00</w:t>
            </w:r>
          </w:p>
        </w:tc>
        <w:tc>
          <w:tcPr>
            <w:tcW w:type="dxa" w:w="2197"/>
          </w:tcPr>
          <w:p>
            <w:pPr>
              <w:jc w:val="right"/>
            </w:pPr>
            <w:r/>
            <w:r>
              <w:rPr>
                <w:rFonts w:eastAsia="SimSun" w:ascii="Times New Roman" w:hAnsi="Times New Roman"/>
                <w:color w:val="4B5563"/>
                <w:sz w:val="18"/>
              </w:rPr>
              <w:t>12300.00</w:t>
            </w:r>
          </w:p>
        </w:tc>
        <w:tc>
          <w:tcPr>
            <w:tcW w:type="dxa" w:w="2197"/>
          </w:tcPr>
          <w:p>
            <w:pPr>
              <w:jc w:val="right"/>
            </w:pPr>
            <w:r/>
            <w:r>
              <w:rPr>
                <w:rFonts w:eastAsia="SimSun" w:ascii="Times New Roman" w:hAnsi="Times New Roman"/>
                <w:color w:val="4B5563"/>
                <w:sz w:val="18"/>
              </w:rPr>
              <w:t>-30.08%</w:t>
            </w:r>
          </w:p>
        </w:tc>
      </w:tr>
      <w:tr>
        <w:tc>
          <w:tcPr>
            <w:tcW w:type="dxa" w:w="2197"/>
          </w:tcPr>
          <w:p>
            <w:pPr>
              <w:jc w:val="left"/>
            </w:pPr>
            <w:r/>
            <w:r>
              <w:rPr>
                <w:rFonts w:eastAsia="SimSun" w:ascii="Times New Roman" w:hAnsi="Times New Roman"/>
                <w:color w:val="4B5563"/>
                <w:sz w:val="18"/>
              </w:rPr>
              <w:t>期末现金及现金等价物余额（万元）</w:t>
            </w:r>
          </w:p>
        </w:tc>
        <w:tc>
          <w:tcPr>
            <w:tcW w:type="dxa" w:w="2197"/>
          </w:tcPr>
          <w:p>
            <w:pPr>
              <w:jc w:val="right"/>
            </w:pPr>
            <w:r/>
            <w:r>
              <w:rPr>
                <w:rFonts w:eastAsia="SimSun" w:ascii="Times New Roman" w:hAnsi="Times New Roman"/>
                <w:color w:val="4B5563"/>
                <w:sz w:val="18"/>
              </w:rPr>
              <w:t>62800.00</w:t>
            </w:r>
          </w:p>
        </w:tc>
        <w:tc>
          <w:tcPr>
            <w:tcW w:type="dxa" w:w="2197"/>
          </w:tcPr>
          <w:p>
            <w:pPr>
              <w:jc w:val="right"/>
            </w:pPr>
            <w:r/>
            <w:r>
              <w:rPr>
                <w:rFonts w:eastAsia="SimSun" w:ascii="Times New Roman" w:hAnsi="Times New Roman"/>
                <w:color w:val="4B5563"/>
                <w:sz w:val="18"/>
              </w:rPr>
              <w:t>51200.00</w:t>
            </w:r>
          </w:p>
        </w:tc>
        <w:tc>
          <w:tcPr>
            <w:tcW w:type="dxa" w:w="2197"/>
          </w:tcPr>
          <w:p>
            <w:pPr>
              <w:jc w:val="right"/>
            </w:pPr>
            <w:r/>
            <w:r>
              <w:rPr>
                <w:rFonts w:eastAsia="SimSun" w:ascii="Times New Roman" w:hAnsi="Times New Roman"/>
                <w:color w:val="4B5563"/>
                <w:sz w:val="18"/>
              </w:rPr>
              <w:t>22.66%</w:t>
            </w:r>
          </w:p>
        </w:tc>
      </w:tr>
    </w:tbl>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