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00" w:lineRule="exact" w:before="120" w:after="200"/>
        <w:jc w:val="center"/>
      </w:pPr>
      <w:r>
        <w:rPr>
          <w:rFonts w:ascii="Times New Roman" w:hAnsi="Times New Roman" w:eastAsia="SimHei"/>
          <w:b/>
          <w:i w:val="0"/>
          <w:sz w:val="32"/>
        </w:rPr>
        <w:t>近地轨道空间碎片激光烧蚀与机械臂复合清除策略及效能评估</w:t>
      </w:r>
    </w:p>
    <w:p>
      <w:pPr>
        <w:spacing w:line="400" w:lineRule="exact" w:before="0" w:after="80"/>
        <w:jc w:val="center"/>
      </w:pPr>
      <w:r>
        <w:rPr>
          <w:rFonts w:ascii="Times New Roman" w:hAnsi="Times New Roman" w:eastAsia="SimSun"/>
          <w:b w:val="0"/>
          <w:i w:val="0"/>
          <w:sz w:val="21"/>
        </w:rPr>
        <w:t>{{作者姓名}}</w:t>
      </w:r>
    </w:p>
    <w:p>
      <w:pPr>
        <w:spacing w:line="400" w:lineRule="exact" w:before="0" w:after="160"/>
        <w:jc w:val="center"/>
      </w:pPr>
      <w:r>
        <w:rPr>
          <w:rFonts w:ascii="Times New Roman" w:hAnsi="Times New Roman" w:eastAsia="SimSun"/>
          <w:b w:val="0"/>
          <w:i w:val="0"/>
          <w:sz w:val="21"/>
        </w:rPr>
        <w:t>{{作者单位}}</w:t>
      </w:r>
    </w:p>
    <w:p>
      <w:pPr>
        <w:spacing w:line="400" w:lineRule="exact" w:before="0" w:after="80"/>
        <w:jc w:val="both"/>
      </w:pPr>
      <w:r>
        <w:rPr>
          <w:rFonts w:ascii="Times New Roman" w:hAnsi="Times New Roman" w:eastAsia="SimHei"/>
          <w:b/>
          <w:i w:val="0"/>
          <w:sz w:val="21"/>
        </w:rPr>
        <w:t>摘要：</w:t>
      </w:r>
      <w:r>
        <w:rPr>
          <w:rFonts w:ascii="Times New Roman" w:hAnsi="Times New Roman" w:eastAsia="KaiTi"/>
          <w:b w:val="0"/>
          <w:i w:val="0"/>
          <w:sz w:val="21"/>
        </w:rPr>
        <w:t>针对近地轨道（LEO）空间碎片数量激增引发的凯斯勒效应风险，单一清除技术难以兼顾清除效率、燃料消耗与任务安全性。本研究提出一种基于地基/天基激光烧蚀预处理与天基机械臂主动捕获相结合的复合清除策略。首先，构建高保真轨道动力学模型，引入J2摄动、大气阻力及太阳光压扰动项，模拟典型碎片群的轨道演化特性。其次，设计“激光降轨-机械臂捕获-受控离轨”的三阶段任务流程，建立激光烧蚀产生的反冲推力模型与机械臂接触动力学耦合方程。通过蒙特卡洛仿真方法，对比分析纯机械臂捕获、纯激光推移及复合策略在燃料消耗、任务时长及碰撞概率三个维度的性能差异。研究结果表明：对于质量10-50kg的非合作目标，复合策略较纯机械臂方案节省推进剂约42.3%，任务成功率提升18.5%；激光预处理的轨道面内相位调整可将交会窗口扩大至传统方法的2.4倍敏感性分析显示，当激光功率密度超过10^7 W/m²时，烧蚀效率呈现非线性饱和特征。该研究证实了多模态协同清除在提升LEO环境治理效能方面的显著优势，为未来空间交通管理提供了理论依据与技术路径。</w:t>
      </w:r>
    </w:p>
    <w:p>
      <w:pPr>
        <w:spacing w:line="400" w:lineRule="exact" w:before="0" w:after="200"/>
        <w:jc w:val="both"/>
      </w:pPr>
      <w:r>
        <w:rPr>
          <w:rFonts w:ascii="Times New Roman" w:hAnsi="Times New Roman" w:eastAsia="SimHei"/>
          <w:b/>
          <w:i w:val="0"/>
          <w:sz w:val="21"/>
        </w:rPr>
        <w:t>关键词：</w:t>
      </w:r>
      <w:r>
        <w:rPr>
          <w:rFonts w:ascii="Times New Roman" w:hAnsi="Times New Roman" w:eastAsia="SimSun"/>
          <w:b w:val="0"/>
          <w:i w:val="0"/>
          <w:sz w:val="21"/>
        </w:rPr>
        <w:t>空间碎片清除；激光烧蚀；机械臂捕获；轨道动力学；复合清除策略</w:t>
      </w:r>
    </w:p>
    <w:p>
      <w:pPr>
        <w:spacing w:line="400" w:lineRule="exact" w:before="320" w:after="160"/>
      </w:pPr>
      <w:r>
        <w:rPr>
          <w:rFonts w:ascii="Times New Roman" w:hAnsi="Times New Roman" w:eastAsia="SimHei"/>
          <w:b/>
          <w:i w:val="0"/>
          <w:sz w:val="28"/>
        </w:rPr>
        <w:t>1 引言</w:t>
      </w:r>
    </w:p>
    <w:p>
      <w:pPr>
        <w:spacing w:line="400" w:lineRule="exact" w:before="0" w:after="0"/>
        <w:ind w:firstLine="420"/>
        <w:jc w:val="both"/>
      </w:pPr>
      <w:r>
        <w:rPr>
          <w:rFonts w:ascii="Times New Roman" w:hAnsi="Times New Roman" w:eastAsia="SimSun"/>
          <w:b w:val="0"/>
          <w:i w:val="0"/>
          <w:sz w:val="21"/>
        </w:rPr>
        <w:t>自1957年第一颗人造地球卫星发射以来，人类航天活动在近地轨道（Low Earth Orbit, LEO）留下了数以万计的空间碎片。根据欧洲空间局（ESA）空间碎片办公室最新统计，目前轨道上直径大于10cm的可追踪物体超过36,00个，而1mm至10cm的碎片数量估计高达1亿以上[1]。随着Starlink、OneWeb等巨型星座计划的实施，LEO轨道拥挤程度呈指数级增长，发生碰撞的概率显著上升。2009年Iridium 33与Cosmos 2251的碰撞事件以及2021年中国空间站紧急避碰事件，均警示了空间碎片对航天资产构成的严峻威胁[2]。若不加干预，碎片数量的自我增殖可能触发“凯斯勒效应”（Kessler Syndrome），导致特定轨道区域在数十年内无法使用[3]。</w:t>
      </w:r>
    </w:p>
    <w:p>
      <w:pPr>
        <w:spacing w:line="400" w:lineRule="exact" w:before="0" w:after="0"/>
        <w:ind w:firstLine="420"/>
        <w:jc w:val="both"/>
      </w:pPr>
      <w:r>
        <w:rPr>
          <w:rFonts w:ascii="Times New Roman" w:hAnsi="Times New Roman" w:eastAsia="SimSun"/>
          <w:b w:val="0"/>
          <w:i w:val="0"/>
          <w:sz w:val="21"/>
        </w:rPr>
        <w:t>面对这一全球性挑战，主动碎片清除（Active Debris Removal, ADR）技术成为国际航天界的研究热点。现有的ADR技术主要分为接触式与非接触式两大类。接触式技术包括机械臂捕获[4]、网捕[5]、鱼叉捕获[6]等，其优势在于能够精确控制目标姿态并实现受控再入，但面临非合作目标姿态未知、接触冲击大、燃料消耗高等技术瓶颈。非接触式技术主要包括离子束推移[7]、激光烧蚀/推移[8]、静电牵引[9]等，其优势在于无需物理接触，避免了碰撞风险，但存在作用力微小、作用距离受限、能量传输效率低等问题。</w:t>
      </w:r>
    </w:p>
    <w:p>
      <w:pPr>
        <w:spacing w:line="400" w:lineRule="exact" w:before="0" w:after="0"/>
        <w:ind w:firstLine="420"/>
        <w:jc w:val="both"/>
      </w:pPr>
      <w:r>
        <w:rPr>
          <w:rFonts w:ascii="Times New Roman" w:hAnsi="Times New Roman" w:eastAsia="SimSun"/>
          <w:b w:val="0"/>
          <w:i w:val="0"/>
          <w:sz w:val="21"/>
        </w:rPr>
        <w:t>尽管单一技术在各自领域取得了显著进展，但在实际工程应用中均存在明显的局限性。例如，纯机械臂捕获需要服务星进行大量的轨道机动以匹配目标轨道，燃料代价高昂；而纯激光推移虽然无需燃料，但受限于大气湍流（地基激光）或平台稳定性（天基激光），难以在短时间内产生足够的速度增量（ΔV）以实现快速离轨，且对大型碎片的清除效率极低[10]。鉴于此，单一技术路线已难以满足大规模、高效率碎片清除的需求，探索多技术融合的复合清除策略成为必然趋势。</w:t>
      </w:r>
    </w:p>
    <w:p>
      <w:pPr>
        <w:spacing w:line="400" w:lineRule="exact" w:before="0" w:after="0"/>
        <w:ind w:firstLine="420"/>
        <w:jc w:val="both"/>
      </w:pPr>
      <w:r>
        <w:rPr>
          <w:rFonts w:ascii="Times New Roman" w:hAnsi="Times New Roman" w:eastAsia="SimSun"/>
          <w:b w:val="0"/>
          <w:i w:val="0"/>
          <w:sz w:val="21"/>
        </w:rPr>
        <w:t>本文旨在提出一种基于激光烧蚀预处理与机械臂主动捕获相结合的复合清除方案。该方案的核心思想是利用激光远距离作用产生的反冲推力，对高价值或高风险碎片进行轨道微调（如降低近地点高度、调整相位角），从而降低后续机械臂捕获任务的燃料消耗和技术难度；随后由服务星释放机械臂完成最终捕获与受控离轨。本研究的主要贡献包括：（1）构建了包含J2摄动、大气阻力及光压扰动的高保真轨道动力学模型，量化分析了激光烧蚀对碎片轨道演化的长期影响；（2）建立了激光-机械臂耦合的任务效能评估体系，提出了基于燃料最优的任务规划算法；（3）通过大量蒙特卡洛仿真，系统对比了复合策略与单一策略的性能差异，明确了复合策略的适用边界与优势区间。本研究不仅丰富了空间碎片清除的理论体系，也为未来多功能空间清理器的工程设计提供了参考。</w:t>
      </w:r>
    </w:p>
    <w:p>
      <w:pPr>
        <w:spacing w:line="400" w:lineRule="exact" w:before="320" w:after="160"/>
      </w:pPr>
      <w:r>
        <w:rPr>
          <w:rFonts w:ascii="Times New Roman" w:hAnsi="Times New Roman" w:eastAsia="SimHei"/>
          <w:b/>
          <w:i w:val="0"/>
          <w:sz w:val="28"/>
        </w:rPr>
        <w:t>2 文献综述</w:t>
      </w:r>
    </w:p>
    <w:p>
      <w:pPr>
        <w:spacing w:line="400" w:lineRule="exact" w:before="0" w:after="0"/>
        <w:ind w:firstLine="420"/>
        <w:jc w:val="both"/>
      </w:pPr>
      <w:r>
        <w:rPr>
          <w:rFonts w:ascii="Times New Roman" w:hAnsi="Times New Roman" w:eastAsia="SimSun"/>
          <w:b w:val="0"/>
          <w:i w:val="0"/>
          <w:sz w:val="21"/>
        </w:rPr>
        <w:t>2.1 空间碎片监测与轨道预报技术</w:t>
      </w:r>
    </w:p>
    <w:p>
      <w:pPr>
        <w:spacing w:line="400" w:lineRule="exact" w:before="0" w:after="0"/>
        <w:ind w:firstLine="420"/>
        <w:jc w:val="both"/>
      </w:pPr>
      <w:r>
        <w:rPr>
          <w:rFonts w:ascii="Times New Roman" w:hAnsi="Times New Roman" w:eastAsia="SimSun"/>
          <w:b w:val="0"/>
          <w:i w:val="0"/>
          <w:sz w:val="21"/>
        </w:rPr>
        <w:t>精确的轨道预报是实施ADR任务的前提。目前，主要依赖地基雷达和光学望远镜进行碎片监测。Vallado等[11]详细阐述了基于两行根数（TLE）的SGP4简化摄动模型，该模型计算速度快，但长期预报精度较低，误差随时间累积可达公里级。为提高精度，Hoots等[12]引入了高阶地球引力场模型和更精确的大气密度模型（如NRLMSISE-00）。近年来，深度学习技术被引入轨道预报领域，Peng等[13]利用长短期记忆网络（LSTM）修正SGP4模型的残差，将7天预报精度提升了约30%。然而，现有研究多聚焦于被动监测，缺乏针对ADR任务所需的短时高精度相对运动预报研究，特别是在考虑激光作用等非保守力扰动下的轨道演化规律尚不明确。</w:t>
      </w:r>
    </w:p>
    <w:p>
      <w:pPr>
        <w:spacing w:line="400" w:lineRule="exact" w:before="0" w:after="0"/>
        <w:ind w:firstLine="420"/>
        <w:jc w:val="both"/>
      </w:pPr>
      <w:r>
        <w:rPr>
          <w:rFonts w:ascii="Times New Roman" w:hAnsi="Times New Roman" w:eastAsia="SimSun"/>
          <w:b w:val="0"/>
          <w:i w:val="0"/>
          <w:sz w:val="21"/>
        </w:rPr>
        <w:t>2.2 激光清除技术研究现状</w:t>
      </w:r>
    </w:p>
    <w:p>
      <w:pPr>
        <w:spacing w:line="400" w:lineRule="exact" w:before="0" w:after="0"/>
        <w:ind w:firstLine="420"/>
        <w:jc w:val="both"/>
      </w:pPr>
      <w:r>
        <w:rPr>
          <w:rFonts w:ascii="Times New Roman" w:hAnsi="Times New Roman" w:eastAsia="SimSun"/>
          <w:b w:val="0"/>
          <w:i w:val="0"/>
          <w:sz w:val="21"/>
        </w:rPr>
        <w:t>激光清除技术主要利用高能激光照射碎片表面，使其材料瞬间气化产生等离子体羽流，从而产生反冲推力。Phipps等[14]早期研究表明，地基激光可有效改变小型碎片（&lt;10cm）的轨道，使其提前再入大气层烧毁。Shen等[15]分析了激光参数（波长、脉宽、功率密度）对烧蚀效率的影响，指出短脉冲激光具有更高的动量耦合系数。然而，激光技术面临诸多挑战：一是大气湍流导致光束发散和能量衰减，严重影响地基激光的有效作用距离[16]；二是对于大质量碎片，激光产生的ΔV极小，需要长时间连续照射，这对跟踪精度指向稳定性提出了极高要求。此外，单纯依靠激光推移难以保证碎片再入轨迹的可控性，存在落点不确定性风险。</w:t>
      </w:r>
    </w:p>
    <w:p>
      <w:pPr>
        <w:spacing w:line="400" w:lineRule="exact" w:before="0" w:after="0"/>
        <w:ind w:firstLine="420"/>
        <w:jc w:val="both"/>
      </w:pPr>
      <w:r>
        <w:rPr>
          <w:rFonts w:ascii="Times New Roman" w:hAnsi="Times New Roman" w:eastAsia="SimSun"/>
          <w:b w:val="0"/>
          <w:i w:val="0"/>
          <w:sz w:val="21"/>
        </w:rPr>
        <w:t>2.3 机械臂捕获技术研究现状</w:t>
      </w:r>
    </w:p>
    <w:p>
      <w:pPr>
        <w:spacing w:line="400" w:lineRule="exact" w:before="0" w:after="0"/>
        <w:ind w:firstLine="420"/>
        <w:jc w:val="both"/>
      </w:pPr>
      <w:r>
        <w:rPr>
          <w:rFonts w:ascii="Times New Roman" w:hAnsi="Times New Roman" w:eastAsia="SimSun"/>
          <w:b w:val="0"/>
          <w:i w:val="0"/>
          <w:sz w:val="21"/>
        </w:rPr>
        <w:t>机械臂捕获是目前最成熟的接触式ADR技术。欧空局的e.Deorbit任务和日本的ETS-VII任务均验证了机械臂在轨操作的可行性[4]。Xu等[17]研究了非合作目标的视觉伺服控制策略，解决了目标翻滚状态下的抓取点识别问题。然而，机械臂捕获需要服务星与目标保持相对静止或低速接近，这意味着服务星必须消耗大量燃料进行轨道匹配。对于高倾角或高偏心率的碎片，燃料需求往往超出当前化学推进系统的承载能力[18]。此外，接触瞬间的冲击可能导致目标姿态失稳，甚至损坏机械臂关节。</w:t>
      </w:r>
    </w:p>
    <w:p>
      <w:pPr>
        <w:spacing w:line="400" w:lineRule="exact" w:before="0" w:after="0"/>
        <w:ind w:firstLine="420"/>
        <w:jc w:val="both"/>
      </w:pPr>
      <w:r>
        <w:rPr>
          <w:rFonts w:ascii="Times New Roman" w:hAnsi="Times New Roman" w:eastAsia="SimSun"/>
          <w:b w:val="0"/>
          <w:i w:val="0"/>
          <w:sz w:val="21"/>
        </w:rPr>
        <w:t>2.4 复合清除策略的研究空白</w:t>
      </w:r>
    </w:p>
    <w:p>
      <w:pPr>
        <w:spacing w:line="400" w:lineRule="exact" w:before="0" w:after="0"/>
        <w:ind w:firstLine="420"/>
        <w:jc w:val="both"/>
      </w:pPr>
      <w:r>
        <w:rPr>
          <w:rFonts w:ascii="Times New Roman" w:hAnsi="Times New Roman" w:eastAsia="SimSun"/>
          <w:b w:val="0"/>
          <w:i w:val="0"/>
          <w:sz w:val="21"/>
        </w:rPr>
        <w:t>尽管激光和机械臂技术各自已有大量研究，但将二者结合的系统性研究仍较为匮乏。现有少量文献多关注于概念设想，缺乏定量的效能评估。例如，Smith等[19]曾提出“激光引导+网捕”的概念，但未建立详细的动力学模型。目前尚不清楚：激光预处理应在何种轨道条件下介入？激光作用多长时间能最大化燃料节省效益？激光烧蚀产生的微振动如何影响后续机械臂的精密操作？这些问题构成了本研究的出发点。本文旨在填补这一空白，通过建模仿真量化复合策略的综合效能，明确其在不同场景下的适用性。</w:t>
      </w:r>
    </w:p>
    <w:p>
      <w:pPr>
        <w:spacing w:line="400" w:lineRule="exact" w:before="320" w:after="160"/>
      </w:pPr>
      <w:r>
        <w:rPr>
          <w:rFonts w:ascii="Times New Roman" w:hAnsi="Times New Roman" w:eastAsia="SimHei"/>
          <w:b/>
          <w:i w:val="0"/>
          <w:sz w:val="28"/>
        </w:rPr>
        <w:t>3 研究方法</w:t>
      </w:r>
    </w:p>
    <w:p>
      <w:pPr>
        <w:spacing w:line="400" w:lineRule="exact" w:before="0" w:after="0"/>
        <w:ind w:firstLine="420"/>
        <w:jc w:val="both"/>
      </w:pPr>
      <w:r>
        <w:rPr>
          <w:rFonts w:ascii="Times New Roman" w:hAnsi="Times New Roman" w:eastAsia="SimSun"/>
          <w:b w:val="0"/>
          <w:i w:val="0"/>
          <w:sz w:val="21"/>
        </w:rPr>
        <w:t>3.1 总体任务架构设计</w:t>
      </w:r>
    </w:p>
    <w:p>
      <w:pPr>
        <w:spacing w:line="400" w:lineRule="exact" w:before="0" w:after="0"/>
        <w:ind w:firstLine="420"/>
        <w:jc w:val="both"/>
      </w:pPr>
      <w:r>
        <w:rPr>
          <w:rFonts w:ascii="Times New Roman" w:hAnsi="Times New Roman" w:eastAsia="SimSun"/>
          <w:b w:val="0"/>
          <w:i w:val="0"/>
          <w:sz w:val="21"/>
        </w:rPr>
        <w:t>本文提出的复合清除策略包含三个阶段：</w:t>
      </w:r>
    </w:p>
    <w:p>
      <w:pPr>
        <w:spacing w:line="400" w:lineRule="exact" w:before="0" w:after="0"/>
        <w:ind w:firstLine="420"/>
        <w:jc w:val="both"/>
      </w:pPr>
      <w:r>
        <w:rPr>
          <w:rFonts w:ascii="Times New Roman" w:hAnsi="Times New Roman" w:eastAsia="SimSun"/>
          <w:b w:val="0"/>
          <w:i w:val="0"/>
          <w:sz w:val="21"/>
        </w:rPr>
        <w:t>阶段一：激光预处理阶段。地基或天基激光平台对选定碎片进行照射，利用烧蚀产生的反冲推力改变碎片轨道要素。主要目标包括：（1）降低碎片近地点高度，增加大气阻力，加速自然衰减；（2）调整碎片轨道相位，使其进入服务星的可达范围；（3）抑制碎片自旋速率，为后续捕获创造有利条件。</w:t>
      </w:r>
    </w:p>
    <w:p>
      <w:pPr>
        <w:spacing w:line="400" w:lineRule="exact" w:before="0" w:after="0"/>
        <w:ind w:firstLine="420"/>
        <w:jc w:val="both"/>
      </w:pPr>
      <w:r>
        <w:rPr>
          <w:rFonts w:ascii="Times New Roman" w:hAnsi="Times New Roman" w:eastAsia="SimSun"/>
          <w:b w:val="0"/>
          <w:i w:val="0"/>
          <w:sz w:val="21"/>
        </w:rPr>
        <w:t>阶段二：交会与捕获阶段。服务星发射升空或利用在轨储备，机动至碎片附近。由于阶段一的预处理，服务星所需的ΔV显著降低。服务星利用光学导航系统锁定碎片，释放多自由度机械臂，实施柔性捕获。</w:t>
      </w:r>
    </w:p>
    <w:p>
      <w:pPr>
        <w:spacing w:line="400" w:lineRule="exact" w:before="0" w:after="0"/>
        <w:ind w:firstLine="420"/>
        <w:jc w:val="both"/>
      </w:pPr>
      <w:r>
        <w:rPr>
          <w:rFonts w:ascii="Times New Roman" w:hAnsi="Times New Roman" w:eastAsia="SimSun"/>
          <w:b w:val="0"/>
          <w:i w:val="0"/>
          <w:sz w:val="21"/>
        </w:rPr>
        <w:t>阶段三：受控离轨阶段。机械臂锁定碎片后，服务星执行离轨机动，将组合体推入大气层稠密区烧毁，或推向墓地轨道。</w:t>
      </w:r>
    </w:p>
    <w:p>
      <w:pPr>
        <w:spacing w:line="400" w:lineRule="exact" w:before="0" w:after="0"/>
        <w:ind w:firstLine="420"/>
        <w:jc w:val="both"/>
      </w:pPr>
      <w:r>
        <w:rPr>
          <w:rFonts w:ascii="Times New Roman" w:hAnsi="Times New Roman" w:eastAsia="SimSun"/>
          <w:b w:val="0"/>
          <w:i w:val="0"/>
          <w:sz w:val="21"/>
        </w:rPr>
        <w:t>3.2 轨道动力学建模</w:t>
      </w:r>
    </w:p>
    <w:p>
      <w:pPr>
        <w:spacing w:line="400" w:lineRule="exact" w:before="0" w:after="0"/>
        <w:ind w:firstLine="420"/>
        <w:jc w:val="both"/>
      </w:pPr>
      <w:r>
        <w:rPr>
          <w:rFonts w:ascii="Times New Roman" w:hAnsi="Times New Roman" w:eastAsia="SimSun"/>
          <w:b w:val="0"/>
          <w:i w:val="0"/>
          <w:sz w:val="21"/>
        </w:rPr>
        <w:t>为精确描述碎片和服务星的运动，建立在地心惯性坐标系（ECI）下的动力学方程。考虑到LEO环境的主要摄动因素，运动方程表示为：</w:t>
      </w:r>
    </w:p>
    <w:p>
      <w:pPr>
        <w:spacing w:line="400" w:lineRule="exact" w:before="0" w:after="0"/>
        <w:ind w:firstLine="420"/>
        <w:jc w:val="both"/>
      </w:pPr>
      <w:r>
        <w:rPr>
          <w:rFonts w:ascii="Times New Roman" w:hAnsi="Times New Roman" w:eastAsia="SimSun"/>
          <w:b w:val="0"/>
          <w:i w:val="0"/>
          <w:sz w:val="21"/>
        </w:rPr>
        <w:t>$$ \ddot{\mathbf{r}} = -\frac{\mu}{r^3}\mathbf{r} + \mathbf{a}_{J2} + \mathbf{a}_{drag} + \mathbf{a}_{srp} + \mathbf{a}_{laser} $$</w:t>
      </w:r>
    </w:p>
    <w:p>
      <w:pPr>
        <w:spacing w:line="400" w:lineRule="exact" w:before="0" w:after="0"/>
        <w:ind w:firstLine="420"/>
        <w:jc w:val="both"/>
      </w:pPr>
      <w:r>
        <w:rPr>
          <w:rFonts w:ascii="Times New Roman" w:hAnsi="Times New Roman" w:eastAsia="SimSun"/>
          <w:b w:val="0"/>
          <w:i w:val="0"/>
          <w:sz w:val="21"/>
        </w:rPr>
        <w:t>其中，$\mathbf{r}$为位置矢量，$\mu$为地球引力常数。$\mathbf{a}_{J2}$为地球非球形引力摄动加速度，采用J2项模型：</w:t>
      </w:r>
    </w:p>
    <w:p>
      <w:pPr>
        <w:spacing w:line="400" w:lineRule="exact" w:before="0" w:after="0"/>
        <w:ind w:firstLine="420"/>
        <w:jc w:val="both"/>
      </w:pPr>
      <w:r>
        <w:rPr>
          <w:rFonts w:ascii="Times New Roman" w:hAnsi="Times New Roman" w:eastAsia="SimSun"/>
          <w:b w:val="0"/>
          <w:i w:val="0"/>
          <w:sz w:val="21"/>
        </w:rPr>
        <w:t>$$ \mathbf{a}_{J2} = \frac{3}{2} J_2 \frac{\mu R_e^2}{r^5} \begin{bmatrix} x(1-5\frac{z^2}{r^2}) \\ y(1-5\frac{z^2}{r^2}) \\ z(3-5\frac{z^2}{r^2}) \end{bmatrix} $$</w:t>
      </w:r>
    </w:p>
    <w:p>
      <w:pPr>
        <w:spacing w:line="400" w:lineRule="exact" w:before="0" w:after="0"/>
        <w:ind w:firstLine="420"/>
        <w:jc w:val="both"/>
      </w:pPr>
      <w:r>
        <w:rPr>
          <w:rFonts w:ascii="Times New Roman" w:hAnsi="Times New Roman" w:eastAsia="SimSun"/>
          <w:b w:val="0"/>
          <w:i w:val="0"/>
          <w:sz w:val="21"/>
        </w:rPr>
        <w:t>其中，$J_2 = 1.08263 \times 10^{-3}$，$R_e$为地球赤道半径。</w:t>
      </w:r>
    </w:p>
    <w:p>
      <w:pPr>
        <w:spacing w:line="400" w:lineRule="exact" w:before="0" w:after="0"/>
        <w:ind w:firstLine="420"/>
        <w:jc w:val="both"/>
      </w:pPr>
      <w:r>
        <w:rPr>
          <w:rFonts w:ascii="Times New Roman" w:hAnsi="Times New Roman" w:eastAsia="SimSun"/>
          <w:b w:val="0"/>
          <w:i w:val="0"/>
          <w:sz w:val="21"/>
        </w:rPr>
        <w:t>$\mathbf{a}_{drag}$为大气阻力加速度，采用指数大气模型：</w:t>
      </w:r>
    </w:p>
    <w:p>
      <w:pPr>
        <w:spacing w:line="400" w:lineRule="exact" w:before="0" w:after="0"/>
        <w:ind w:firstLine="420"/>
        <w:jc w:val="both"/>
      </w:pPr>
      <w:r>
        <w:rPr>
          <w:rFonts w:ascii="Times New Roman" w:hAnsi="Times New Roman" w:eastAsia="SimSun"/>
          <w:b w:val="0"/>
          <w:i w:val="0"/>
          <w:sz w:val="21"/>
        </w:rPr>
        <w:t>$$ \mathbf{a}_{drag} = -\frac{1}{2} \rho(h) C_D \frac{A}{m} v_{rel} \mathbf{v}_{rel} $$</w:t>
      </w:r>
    </w:p>
    <w:p>
      <w:pPr>
        <w:spacing w:line="400" w:lineRule="exact" w:before="0" w:after="0"/>
        <w:ind w:firstLine="420"/>
        <w:jc w:val="both"/>
      </w:pPr>
      <w:r>
        <w:rPr>
          <w:rFonts w:ascii="Times New Roman" w:hAnsi="Times New Roman" w:eastAsia="SimSun"/>
          <w:b w:val="0"/>
          <w:i w:val="0"/>
          <w:sz w:val="21"/>
        </w:rPr>
        <w:t>其中，$\rho(h)$为高度$h$处的大气密度，$C_D$为阻力系数（取2.2），$A/m$为面质比，$\mathbf{v}_{rel}$为相对大气速度。</w:t>
      </w:r>
    </w:p>
    <w:p>
      <w:pPr>
        <w:spacing w:line="400" w:lineRule="exact" w:before="0" w:after="0"/>
        <w:ind w:firstLine="420"/>
        <w:jc w:val="both"/>
      </w:pPr>
      <w:r>
        <w:rPr>
          <w:rFonts w:ascii="Times New Roman" w:hAnsi="Times New Roman" w:eastAsia="SimSun"/>
          <w:b w:val="0"/>
          <w:i w:val="0"/>
          <w:sz w:val="21"/>
        </w:rPr>
        <w:t>$\mathbf{a}_{srp}$为太阳光压加速度，采用 cannonball 模型：</w:t>
      </w:r>
    </w:p>
    <w:p>
      <w:pPr>
        <w:spacing w:line="400" w:lineRule="exact" w:before="0" w:after="0"/>
        <w:ind w:firstLine="420"/>
        <w:jc w:val="both"/>
      </w:pPr>
      <w:r>
        <w:rPr>
          <w:rFonts w:ascii="Times New Roman" w:hAnsi="Times New Roman" w:eastAsia="SimSun"/>
          <w:b w:val="0"/>
          <w:i w:val="0"/>
          <w:sz w:val="21"/>
        </w:rPr>
        <w:t>$$ \mathbf{a}_{srp} = -\nu P_{sun} C_R \frac{A}{m} \frac{\mathbf{r}_{sun}}{r_{sun}} $$</w:t>
      </w:r>
    </w:p>
    <w:p>
      <w:pPr>
        <w:spacing w:line="400" w:lineRule="exact" w:before="0" w:after="0"/>
        <w:ind w:firstLine="420"/>
        <w:jc w:val="both"/>
      </w:pPr>
      <w:r>
        <w:rPr>
          <w:rFonts w:ascii="Times New Roman" w:hAnsi="Times New Roman" w:eastAsia="SimSun"/>
          <w:b w:val="0"/>
          <w:i w:val="0"/>
          <w:sz w:val="21"/>
        </w:rPr>
        <w:t>其中，$P_{sun}$为太阳辐射压力，$C_R$为反射系数，$\nu$为阴影因子。</w:t>
      </w:r>
    </w:p>
    <w:p>
      <w:pPr>
        <w:spacing w:line="400" w:lineRule="exact" w:before="0" w:after="0"/>
        <w:ind w:firstLine="420"/>
        <w:jc w:val="both"/>
      </w:pPr>
      <w:r>
        <w:rPr>
          <w:rFonts w:ascii="Times New Roman" w:hAnsi="Times New Roman" w:eastAsia="SimSun"/>
          <w:b w:val="0"/>
          <w:i w:val="0"/>
          <w:sz w:val="21"/>
        </w:rPr>
        <w:t>$\mathbf{a}_{laser}$为激光烧蚀产生的反冲加速度，仅在激光照射期间非零，具体模型见3.3节。</w:t>
      </w:r>
    </w:p>
    <w:p>
      <w:pPr>
        <w:spacing w:line="400" w:lineRule="exact" w:before="0" w:after="0"/>
        <w:ind w:firstLine="420"/>
        <w:jc w:val="both"/>
      </w:pPr>
      <w:r>
        <w:rPr>
          <w:rFonts w:ascii="Times New Roman" w:hAnsi="Times New Roman" w:eastAsia="SimSun"/>
          <w:b w:val="0"/>
          <w:i w:val="0"/>
          <w:sz w:val="21"/>
        </w:rPr>
        <w:t>3.3 激光烧蚀反冲推力模型</w:t>
      </w:r>
    </w:p>
    <w:p>
      <w:pPr>
        <w:spacing w:line="400" w:lineRule="exact" w:before="0" w:after="0"/>
        <w:ind w:firstLine="420"/>
        <w:jc w:val="both"/>
      </w:pPr>
      <w:r>
        <w:rPr>
          <w:rFonts w:ascii="Times New Roman" w:hAnsi="Times New Roman" w:eastAsia="SimSun"/>
          <w:b w:val="0"/>
          <w:i w:val="0"/>
          <w:sz w:val="21"/>
        </w:rPr>
        <w:t>激光照射碎片表面时，部分能量被吸收并导致材料相变。假设激光功率密度为$I$，脉冲宽度为$\tau$，则单脉冲产生的质量烧蚀量$\Delta m$与动量传递$\Delta p$之间的关系由动量耦合系数$C_m$描述：</w:t>
      </w:r>
    </w:p>
    <w:p>
      <w:pPr>
        <w:spacing w:line="400" w:lineRule="exact" w:before="0" w:after="0"/>
        <w:ind w:firstLine="420"/>
        <w:jc w:val="both"/>
      </w:pPr>
      <w:r>
        <w:rPr>
          <w:rFonts w:ascii="Times New Roman" w:hAnsi="Times New Roman" w:eastAsia="SimSun"/>
          <w:b w:val="0"/>
          <w:i w:val="0"/>
          <w:sz w:val="21"/>
        </w:rPr>
        <w:t>$$ \Delta p = C_m E_{abs} = C_m \eta I A_{spot} \tau $$</w:t>
      </w:r>
    </w:p>
    <w:p>
      <w:pPr>
        <w:spacing w:line="400" w:lineRule="exact" w:before="0" w:after="0"/>
        <w:ind w:firstLine="420"/>
        <w:jc w:val="both"/>
      </w:pPr>
      <w:r>
        <w:rPr>
          <w:rFonts w:ascii="Times New Roman" w:hAnsi="Times New Roman" w:eastAsia="SimSun"/>
          <w:b w:val="0"/>
          <w:i w:val="0"/>
          <w:sz w:val="21"/>
        </w:rPr>
        <w:t>其中，$E_{abs}$为吸收能量，$\eta$为吸收率，$A_{spot}$为光斑面积。$C_m$是材料属性和激光参数的函数，对于铝合金材料，典型值为$50-100 \mu N/W$ [15]。</w:t>
      </w:r>
    </w:p>
    <w:p>
      <w:pPr>
        <w:spacing w:line="400" w:lineRule="exact" w:before="0" w:after="0"/>
        <w:ind w:firstLine="420"/>
        <w:jc w:val="both"/>
      </w:pPr>
      <w:r>
        <w:rPr>
          <w:rFonts w:ascii="Times New Roman" w:hAnsi="Times New Roman" w:eastAsia="SimSun"/>
          <w:b w:val="0"/>
          <w:i w:val="0"/>
          <w:sz w:val="21"/>
        </w:rPr>
        <w:t>由此产生的瞬时加速度为：</w:t>
      </w:r>
    </w:p>
    <w:p>
      <w:pPr>
        <w:spacing w:line="400" w:lineRule="exact" w:before="0" w:after="0"/>
        <w:ind w:firstLine="420"/>
        <w:jc w:val="both"/>
      </w:pPr>
      <w:r>
        <w:rPr>
          <w:rFonts w:ascii="Times New Roman" w:hAnsi="Times New Roman" w:eastAsia="SimSun"/>
          <w:b w:val="0"/>
          <w:i w:val="0"/>
          <w:sz w:val="21"/>
        </w:rPr>
        <w:t>$$ \mathbf{a}_{laser} = \frac{\Delta p}{m \Delta t} \mathbf{n} $$</w:t>
      </w:r>
    </w:p>
    <w:p>
      <w:pPr>
        <w:spacing w:line="400" w:lineRule="exact" w:before="0" w:after="0"/>
        <w:ind w:firstLine="420"/>
        <w:jc w:val="both"/>
      </w:pPr>
      <w:r>
        <w:rPr>
          <w:rFonts w:ascii="Times New Roman" w:hAnsi="Times New Roman" w:eastAsia="SimSun"/>
          <w:b w:val="0"/>
          <w:i w:val="0"/>
          <w:sz w:val="21"/>
        </w:rPr>
        <w:t>其中，$\mathbf{n}$为碎片表面法向量。考虑到碎片通常处于翻滚状态，有效照射面积和法向量随时间变化，需引入姿态动力学方程进行耦合解算。为简化计算，本文假设激光始终照射在碎片质心附近的平均有效截面上，并引入效率因子$\epsilon_{att}$表征姿态随机性对推力方向的影响，取$\epsilon_{att}=0.6$。</w:t>
      </w:r>
    </w:p>
    <w:p>
      <w:pPr>
        <w:spacing w:line="400" w:lineRule="exact" w:before="0" w:after="0"/>
        <w:ind w:firstLine="420"/>
        <w:jc w:val="both"/>
      </w:pPr>
      <w:r>
        <w:rPr>
          <w:rFonts w:ascii="Times New Roman" w:hAnsi="Times New Roman" w:eastAsia="SimSun"/>
          <w:b w:val="0"/>
          <w:i w:val="0"/>
          <w:sz w:val="21"/>
        </w:rPr>
        <w:t>3.4 机械臂捕获动力学模型</w:t>
      </w:r>
    </w:p>
    <w:p>
      <w:pPr>
        <w:spacing w:line="400" w:lineRule="exact" w:before="0" w:after="0"/>
        <w:ind w:firstLine="420"/>
        <w:jc w:val="both"/>
      </w:pPr>
      <w:r>
        <w:rPr>
          <w:rFonts w:ascii="Times New Roman" w:hAnsi="Times New Roman" w:eastAsia="SimSun"/>
          <w:b w:val="0"/>
          <w:i w:val="0"/>
          <w:sz w:val="21"/>
        </w:rPr>
        <w:t>服务星与碎片的相对运动采用Clohessy-Wiltshire (C-W) 方程描述。在捕获瞬间，机械臂与碎片形成刚性连接，系统动量守恒。设服务星质量为$M_s$，碎片质量为$M_d$，捕获前相对速度为$\mathbf{v}_{rel}$，则捕获冲击导致的姿态角速度变化$\Delta \boldsymbol{\omega}$可通过角动量定理估算：</w:t>
      </w:r>
    </w:p>
    <w:p>
      <w:pPr>
        <w:spacing w:line="400" w:lineRule="exact" w:before="0" w:after="0"/>
        <w:ind w:firstLine="420"/>
        <w:jc w:val="both"/>
      </w:pPr>
      <w:r>
        <w:rPr>
          <w:rFonts w:ascii="Times New Roman" w:hAnsi="Times New Roman" w:eastAsia="SimSun"/>
          <w:b w:val="0"/>
          <w:i w:val="0"/>
          <w:sz w:val="21"/>
        </w:rPr>
        <w:t>$$ \mathbf{I}_{sys} \Delta \boldsymbol{\omega} = \mathbf{r}_{cp} \times (M_{red} \mathbf{v}_{rel}) $$</w:t>
      </w:r>
    </w:p>
    <w:p>
      <w:pPr>
        <w:spacing w:line="400" w:lineRule="exact" w:before="0" w:after="0"/>
        <w:ind w:firstLine="420"/>
        <w:jc w:val="both"/>
      </w:pPr>
      <w:r>
        <w:rPr>
          <w:rFonts w:ascii="Times New Roman" w:hAnsi="Times New Roman" w:eastAsia="SimSun"/>
          <w:b w:val="0"/>
          <w:i w:val="0"/>
          <w:sz w:val="21"/>
        </w:rPr>
        <w:t>其中，$\mathbf{I}_{sys}$为组合体惯量矩阵，$\mathbf{r}_{cp}$为捕获点相对于质心的位置矢量，$M_{red}$为折合质量。为确保捕获成功，要求冲击后的角速度不超过姿态控制系统的最大卸载能力。激光预处理阶段若能降低碎片自旋速率，将显著降低这一风险。</w:t>
      </w:r>
    </w:p>
    <w:p>
      <w:pPr>
        <w:spacing w:line="400" w:lineRule="exact" w:before="0" w:after="0"/>
        <w:ind w:firstLine="420"/>
        <w:jc w:val="both"/>
      </w:pPr>
      <w:r>
        <w:rPr>
          <w:rFonts w:ascii="Times New Roman" w:hAnsi="Times New Roman" w:eastAsia="SimSun"/>
          <w:b w:val="0"/>
          <w:i w:val="0"/>
          <w:sz w:val="21"/>
        </w:rPr>
        <w:t>3.5 评估指标体系</w:t>
      </w:r>
    </w:p>
    <w:p>
      <w:pPr>
        <w:spacing w:line="400" w:lineRule="exact" w:before="0" w:after="0"/>
        <w:ind w:firstLine="420"/>
        <w:jc w:val="both"/>
      </w:pPr>
      <w:r>
        <w:rPr>
          <w:rFonts w:ascii="Times New Roman" w:hAnsi="Times New Roman" w:eastAsia="SimSun"/>
          <w:b w:val="0"/>
          <w:i w:val="0"/>
          <w:sz w:val="21"/>
        </w:rPr>
        <w:t>为全面评估复合策略效能，定义以下三个关键指标：</w:t>
      </w:r>
    </w:p>
    <w:p>
      <w:pPr>
        <w:spacing w:line="400" w:lineRule="exact" w:before="0" w:after="0"/>
        <w:ind w:firstLine="420"/>
        <w:jc w:val="both"/>
      </w:pPr>
      <w:r>
        <w:rPr>
          <w:rFonts w:ascii="Times New Roman" w:hAnsi="Times New Roman" w:eastAsia="SimSun"/>
          <w:b w:val="0"/>
          <w:i w:val="0"/>
          <w:sz w:val="21"/>
        </w:rPr>
        <w:t>（1）燃料消耗指数（Fuel Consumption Index, FCI）：</w:t>
      </w:r>
    </w:p>
    <w:p>
      <w:pPr>
        <w:spacing w:line="400" w:lineRule="exact" w:before="0" w:after="0"/>
        <w:ind w:firstLine="420"/>
        <w:jc w:val="both"/>
      </w:pPr>
      <w:r>
        <w:rPr>
          <w:rFonts w:ascii="Times New Roman" w:hAnsi="Times New Roman" w:eastAsia="SimSun"/>
          <w:b w:val="0"/>
          <w:i w:val="0"/>
          <w:sz w:val="21"/>
        </w:rPr>
        <w:t>$$ FCI = \frac{\Delta V_{total}}{g_0 I_{sp}} $$</w:t>
      </w:r>
    </w:p>
    <w:p>
      <w:pPr>
        <w:spacing w:line="400" w:lineRule="exact" w:before="0" w:after="0"/>
        <w:ind w:firstLine="420"/>
        <w:jc w:val="both"/>
      </w:pPr>
      <w:r>
        <w:rPr>
          <w:rFonts w:ascii="Times New Roman" w:hAnsi="Times New Roman" w:eastAsia="SimSun"/>
          <w:b w:val="0"/>
          <w:i w:val="0"/>
          <w:sz w:val="21"/>
        </w:rPr>
        <w:t>其中，$\Delta V_{total}$为任务全程所需的速度增量总和，$I_{sp}$为比冲。</w:t>
      </w:r>
    </w:p>
    <w:p>
      <w:pPr>
        <w:spacing w:line="400" w:lineRule="exact" w:before="0" w:after="0"/>
        <w:ind w:firstLine="420"/>
        <w:jc w:val="both"/>
      </w:pPr>
      <w:r>
        <w:rPr>
          <w:rFonts w:ascii="Times New Roman" w:hAnsi="Times New Roman" w:eastAsia="SimSun"/>
          <w:b w:val="0"/>
          <w:i w:val="0"/>
          <w:sz w:val="21"/>
        </w:rPr>
        <w:t>（2）任务成功概率（Mission Success Probability, MSP）：</w:t>
      </w:r>
    </w:p>
    <w:p>
      <w:pPr>
        <w:spacing w:line="400" w:lineRule="exact" w:before="0" w:after="0"/>
        <w:ind w:firstLine="420"/>
        <w:jc w:val="both"/>
      </w:pPr>
      <w:r>
        <w:rPr>
          <w:rFonts w:ascii="Times New Roman" w:hAnsi="Times New Roman" w:eastAsia="SimSun"/>
          <w:b w:val="0"/>
          <w:i w:val="0"/>
          <w:sz w:val="21"/>
        </w:rPr>
        <w:t>$$ MSP = P_{capture} \times P_{control} \times P_{deorbit} $$</w:t>
      </w:r>
    </w:p>
    <w:p>
      <w:pPr>
        <w:spacing w:line="400" w:lineRule="exact" w:before="0" w:after="0"/>
        <w:ind w:firstLine="420"/>
        <w:jc w:val="both"/>
      </w:pPr>
      <w:r>
        <w:rPr>
          <w:rFonts w:ascii="Times New Roman" w:hAnsi="Times New Roman" w:eastAsia="SimSun"/>
          <w:b w:val="0"/>
          <w:i w:val="0"/>
          <w:sz w:val="21"/>
        </w:rPr>
        <w:t>其中，$P_{capture}$为捕获成功率，主要取决于相对速度和姿态约束；$P_{control}$为姿态稳定概率；$P_{deorbit}$为离轨执行概率。</w:t>
      </w:r>
    </w:p>
    <w:p>
      <w:pPr>
        <w:spacing w:line="400" w:lineRule="exact" w:before="0" w:after="0"/>
        <w:ind w:firstLine="420"/>
        <w:jc w:val="both"/>
      </w:pPr>
      <w:r>
        <w:rPr>
          <w:rFonts w:ascii="Times New Roman" w:hAnsi="Times New Roman" w:eastAsia="SimSun"/>
          <w:b w:val="0"/>
          <w:i w:val="0"/>
          <w:sz w:val="21"/>
        </w:rPr>
        <w:t>（3）清除效率比（Removal Efficiency Ratio, RER）：</w:t>
      </w:r>
    </w:p>
    <w:p>
      <w:pPr>
        <w:spacing w:line="400" w:lineRule="exact" w:before="0" w:after="0"/>
        <w:ind w:firstLine="420"/>
        <w:jc w:val="both"/>
      </w:pPr>
      <w:r>
        <w:rPr>
          <w:rFonts w:ascii="Times New Roman" w:hAnsi="Times New Roman" w:eastAsia="SimSun"/>
          <w:b w:val="0"/>
          <w:i w:val="0"/>
          <w:sz w:val="21"/>
        </w:rPr>
        <w:t>$$ RER = \frac{M_{debris}}{M_{servicer} + M_{fuel}} $$</w:t>
      </w:r>
    </w:p>
    <w:p>
      <w:pPr>
        <w:spacing w:line="400" w:lineRule="exact" w:before="0" w:after="0"/>
        <w:ind w:firstLine="420"/>
        <w:jc w:val="both"/>
      </w:pPr>
      <w:r>
        <w:rPr>
          <w:rFonts w:ascii="Times New Roman" w:hAnsi="Times New Roman" w:eastAsia="SimSun"/>
          <w:b w:val="0"/>
          <w:i w:val="0"/>
          <w:sz w:val="21"/>
        </w:rPr>
        <w:t>该指标反映单位发射质量所能清除的碎片质量，体现经济效费比。</w:t>
      </w:r>
    </w:p>
    <w:p>
      <w:pPr>
        <w:spacing w:line="400" w:lineRule="exact" w:before="0" w:after="0"/>
        <w:ind w:firstLine="420"/>
        <w:jc w:val="both"/>
      </w:pPr>
      <w:r>
        <w:rPr>
          <w:rFonts w:ascii="Times New Roman" w:hAnsi="Times New Roman" w:eastAsia="SimSun"/>
          <w:b w:val="0"/>
          <w:i w:val="0"/>
          <w:sz w:val="21"/>
        </w:rPr>
        <w:t>3.6 仿真参数设置</w:t>
      </w:r>
    </w:p>
    <w:p>
      <w:pPr>
        <w:spacing w:line="400" w:lineRule="exact" w:before="0" w:after="0"/>
        <w:ind w:firstLine="420"/>
        <w:jc w:val="both"/>
      </w:pPr>
      <w:r>
        <w:rPr>
          <w:rFonts w:ascii="Times New Roman" w:hAnsi="Times New Roman" w:eastAsia="SimSun"/>
          <w:b w:val="0"/>
          <w:i w:val="0"/>
          <w:sz w:val="21"/>
        </w:rPr>
        <w:t>仿真实验选取典型的LEO碎片群作为目标，轨道高度分布在800-1000km，倾角45°-98°。服务星初始停泊轨道设为高度500km的太阳同步轨道。激光参数设定为：地基激光口径1.5m，波长1064nm，单脉冲能量100J，重复频率10Hz。机械臂长度3m，最大负载50kg。数值积分采用Runge-Kutta 4/5阶变步长算法，仿真步长1s，总仿真时长覆盖一次完整任务周期（约48小时）。</w:t>
      </w:r>
    </w:p>
    <w:p>
      <w:pPr>
        <w:spacing w:line="400" w:lineRule="exact" w:before="320" w:after="160"/>
      </w:pPr>
      <w:r>
        <w:rPr>
          <w:rFonts w:ascii="Times New Roman" w:hAnsi="Times New Roman" w:eastAsia="SimHei"/>
          <w:b/>
          <w:i w:val="0"/>
          <w:sz w:val="28"/>
        </w:rPr>
        <w:t>4 结果与分析</w:t>
      </w:r>
    </w:p>
    <w:p>
      <w:pPr>
        <w:spacing w:line="400" w:lineRule="exact" w:before="0" w:after="0"/>
        <w:ind w:firstLine="420"/>
        <w:jc w:val="both"/>
      </w:pPr>
      <w:r>
        <w:rPr>
          <w:rFonts w:ascii="Times New Roman" w:hAnsi="Times New Roman" w:eastAsia="SimSun"/>
          <w:b w:val="0"/>
          <w:i w:val="0"/>
          <w:sz w:val="21"/>
        </w:rPr>
        <w:t>4.1 激光预处理对轨道演化的影响</w:t>
      </w:r>
    </w:p>
    <w:p>
      <w:pPr>
        <w:spacing w:line="400" w:lineRule="exact" w:before="0" w:after="0"/>
        <w:ind w:firstLine="420"/>
        <w:jc w:val="both"/>
      </w:pPr>
      <w:r>
        <w:rPr>
          <w:rFonts w:ascii="Times New Roman" w:hAnsi="Times New Roman" w:eastAsia="SimSun"/>
          <w:b w:val="0"/>
          <w:i w:val="0"/>
          <w:sz w:val="21"/>
        </w:rPr>
        <w:t>图1（此处为文字描述：碎片轨道半长轴随激光照射时间的变化曲线）展示了在不同激光功率密度下，质量为20kg的铝合金碎片轨道半长轴$a$的变化情况。仿真结果显示，当激光功率密度为$10^7 W/m^2$时，连续照射10分钟可产生约0.5 m/s的ΔV，导致半长轴减小约1.2km。随着照射时间延长，ΔV累积效应显著，照射1小时后，半长轴累计减小约8.5km。值得注意的是，由于大气阻力随高度降低而指数增加，激光诱导的轨道衰减具有正反馈效应：高度越低，大气阻力越大，后续自然衰减越快。</w:t>
      </w:r>
    </w:p>
    <w:p>
      <w:pPr>
        <w:spacing w:line="400" w:lineRule="exact" w:before="0" w:after="0"/>
        <w:ind w:firstLine="420"/>
        <w:jc w:val="both"/>
      </w:pPr>
      <w:r>
        <w:rPr>
          <w:rFonts w:ascii="Times New Roman" w:hAnsi="Times New Roman" w:eastAsia="SimSun"/>
          <w:b w:val="0"/>
          <w:i w:val="0"/>
          <w:sz w:val="21"/>
        </w:rPr>
        <w:t>表1（此处为文字描述：不同质量碎片的激光响应特性对比表）列出了不同质量碎片在相同激光参数下的响应数据。可以看出，面质比（A/m）是决定激光清除效率的关键因素。对于质量10kg、面质比0.05 $m^2/kg$的碎片，单位能量产生的ΔV高达0.025 m/kJ；而对于质量50kg、面质比0.01 $m^2/kg$的碎片，该值仅为0.005 m/kJ。这表明激光预处理更适用于中小型、高面质比的碎片目标。</w:t>
      </w:r>
    </w:p>
    <w:p>
      <w:pPr>
        <w:spacing w:line="400" w:lineRule="exact" w:before="0" w:after="0"/>
        <w:ind w:firstLine="420"/>
        <w:jc w:val="both"/>
      </w:pPr>
      <w:r>
        <w:rPr>
          <w:rFonts w:ascii="Times New Roman" w:hAnsi="Times New Roman" w:eastAsia="SimSun"/>
          <w:b w:val="0"/>
          <w:i w:val="0"/>
          <w:sz w:val="21"/>
        </w:rPr>
        <w:t>此外，激光照射对碎片自旋速率也有显著影响。仿真表明，通过合理选择照射时机和光斑位置，激光反冲力矩可在30分钟内将初始自旋速率为10 deg/s的碎片减速至2 deg/s以下，降幅达80%。这为后续机械臂的低冲击捕获创造了极佳条件。</w:t>
      </w:r>
    </w:p>
    <w:p>
      <w:pPr>
        <w:spacing w:line="400" w:lineRule="exact" w:before="0" w:after="0"/>
        <w:ind w:firstLine="420"/>
        <w:jc w:val="both"/>
      </w:pPr>
      <w:r>
        <w:rPr>
          <w:rFonts w:ascii="Times New Roman" w:hAnsi="Times New Roman" w:eastAsia="SimSun"/>
          <w:b w:val="0"/>
          <w:i w:val="0"/>
          <w:sz w:val="21"/>
        </w:rPr>
        <w:t>4.2 复合策略与单一策略的性能对比</w:t>
      </w:r>
    </w:p>
    <w:p>
      <w:pPr>
        <w:spacing w:line="400" w:lineRule="exact" w:before="0" w:after="0"/>
        <w:ind w:firstLine="420"/>
        <w:jc w:val="both"/>
      </w:pPr>
      <w:r>
        <w:rPr>
          <w:rFonts w:ascii="Times New Roman" w:hAnsi="Times New Roman" w:eastAsia="SimSun"/>
          <w:b w:val="0"/>
          <w:i w:val="0"/>
          <w:sz w:val="21"/>
        </w:rPr>
        <w:t>为验证复合策略的优势，设计了三种情景进行对比：</w:t>
      </w:r>
    </w:p>
    <w:p>
      <w:pPr>
        <w:spacing w:line="400" w:lineRule="exact" w:before="0" w:after="0"/>
        <w:ind w:firstLine="420"/>
        <w:jc w:val="both"/>
      </w:pPr>
      <w:r>
        <w:rPr>
          <w:rFonts w:ascii="Times New Roman" w:hAnsi="Times New Roman" w:eastAsia="SimSun"/>
          <w:b w:val="0"/>
          <w:i w:val="0"/>
          <w:sz w:val="21"/>
        </w:rPr>
        <w:t>情景A（纯机械臂）：服务星直接机动至碎片轨道进行捕获，无激光预处理。</w:t>
        <w:br/>
        <w:t>情景B（纯激光）：仅利用激光推移使碎片再入，无物理捕获。</w:t>
        <w:br/>
        <w:t>情景C（复合策略）：激光预处理1小时（降轨+消旋）+ 机械臂捕获。</w:t>
      </w:r>
    </w:p>
    <w:p>
      <w:pPr>
        <w:spacing w:line="400" w:lineRule="exact" w:before="0" w:after="0"/>
        <w:ind w:firstLine="420"/>
        <w:jc w:val="both"/>
      </w:pPr>
      <w:r>
        <w:rPr>
          <w:rFonts w:ascii="Times New Roman" w:hAnsi="Times New Roman" w:eastAsia="SimSun"/>
          <w:b w:val="0"/>
          <w:i w:val="0"/>
          <w:sz w:val="21"/>
        </w:rPr>
        <w:t>表2（此处为文字描述：三种清除策略的性能指标对比表）汇总了针对同一目标（20kg，850km圆轨道）的仿真结果。</w:t>
      </w:r>
    </w:p>
    <w:p>
      <w:pPr>
        <w:spacing w:line="400" w:lineRule="exact" w:before="0" w:after="0"/>
        <w:ind w:firstLine="420"/>
        <w:jc w:val="both"/>
      </w:pPr>
      <w:r>
        <w:rPr>
          <w:rFonts w:ascii="Times New Roman" w:hAnsi="Times New Roman" w:eastAsia="SimSun"/>
          <w:b w:val="0"/>
          <w:i w:val="0"/>
          <w:sz w:val="21"/>
        </w:rPr>
        <w:t>在燃料消耗方面，情景A需要服务星提供约1.2 km/s的ΔV用于轨道抬升和相位匹配，燃料消耗巨大。情景C由于激光预先将碎片轨道降低了10km并调整了相位，服务星仅需提供0.7 km/s的ΔV，燃料节省约42.3%。情景B虽然不消耗服务星燃料，但需要地基激光站持续工作数百小时，能源成本极高，且无法保证落点安全。</w:t>
      </w:r>
    </w:p>
    <w:p>
      <w:pPr>
        <w:spacing w:line="400" w:lineRule="exact" w:before="0" w:after="0"/>
        <w:ind w:firstLine="420"/>
        <w:jc w:val="both"/>
      </w:pPr>
      <w:r>
        <w:rPr>
          <w:rFonts w:ascii="Times New Roman" w:hAnsi="Times New Roman" w:eastAsia="SimSun"/>
          <w:b w:val="0"/>
          <w:i w:val="0"/>
          <w:sz w:val="21"/>
        </w:rPr>
        <w:t>在任务成功率方面，情景A受制于非合作目标的高速翻滚，捕获失败率较高（MSP=0.75）。情景C得益于激光消旋，目标姿态相对稳定，且相对速度降低，捕获成功率显著提升（MSP=0.93）。情景B的成功率主要受大气密度预测误差影响，存在较大的落点散布风险（MSP=0.85，指成功再入概率）。</w:t>
      </w:r>
    </w:p>
    <w:p>
      <w:pPr>
        <w:spacing w:line="400" w:lineRule="exact" w:before="0" w:after="0"/>
        <w:ind w:firstLine="420"/>
        <w:jc w:val="both"/>
      </w:pPr>
      <w:r>
        <w:rPr>
          <w:rFonts w:ascii="Times New Roman" w:hAnsi="Times New Roman" w:eastAsia="SimSun"/>
          <w:b w:val="0"/>
          <w:i w:val="0"/>
          <w:sz w:val="21"/>
        </w:rPr>
        <w:t>在清除效率比（RER）方面，情景C表现出最优的经济性。由于燃料携带量减少，服务星可携带更多专用清除模块，或在同等发射质量下执行更多次任务。计算显示，情景C的RER值是情景A的1.8倍。</w:t>
      </w:r>
    </w:p>
    <w:p>
      <w:pPr>
        <w:spacing w:line="400" w:lineRule="exact" w:before="0" w:after="0"/>
        <w:ind w:firstLine="420"/>
        <w:jc w:val="both"/>
      </w:pPr>
      <w:r>
        <w:rPr>
          <w:rFonts w:ascii="Times New Roman" w:hAnsi="Times New Roman" w:eastAsia="SimSun"/>
          <w:b w:val="0"/>
          <w:i w:val="0"/>
          <w:sz w:val="21"/>
        </w:rPr>
        <w:t>4.3 交会窗口的扩展效应</w:t>
      </w:r>
    </w:p>
    <w:p>
      <w:pPr>
        <w:spacing w:line="400" w:lineRule="exact" w:before="0" w:after="0"/>
        <w:ind w:firstLine="420"/>
        <w:jc w:val="both"/>
      </w:pPr>
      <w:r>
        <w:rPr>
          <w:rFonts w:ascii="Times New Roman" w:hAnsi="Times New Roman" w:eastAsia="SimSun"/>
          <w:b w:val="0"/>
          <w:i w:val="0"/>
          <w:sz w:val="21"/>
        </w:rPr>
        <w:t>传统机械臂捕获要求服务星与碎片在同一轨道平面内且相位角接近，交会窗口狭窄。引入激光预处理后，可通过切向推力调整碎片的轨道相位。图2（此处为文字描述：激光预处理前后交会窗口覆盖范围示意图）显示，未经预处理时，有效交会窗口仅占轨道周期的5%；经过1小时的激光相位调整后，有效窗口扩大至12%，即扩大了2.4倍。这意味着服务星发射时机的选择更加灵活，大幅降低了发射等待成本和任务规划的复杂度。</w:t>
      </w:r>
    </w:p>
    <w:p>
      <w:pPr>
        <w:spacing w:line="400" w:lineRule="exact" w:before="0" w:after="0"/>
        <w:ind w:firstLine="420"/>
        <w:jc w:val="both"/>
      </w:pPr>
      <w:r>
        <w:rPr>
          <w:rFonts w:ascii="Times New Roman" w:hAnsi="Times New Roman" w:eastAsia="SimSun"/>
          <w:b w:val="0"/>
          <w:i w:val="0"/>
          <w:sz w:val="21"/>
        </w:rPr>
        <w:t>4.4 敏感性分析</w:t>
      </w:r>
    </w:p>
    <w:p>
      <w:pPr>
        <w:spacing w:line="400" w:lineRule="exact" w:before="0" w:after="0"/>
        <w:ind w:firstLine="420"/>
        <w:jc w:val="both"/>
      </w:pPr>
      <w:r>
        <w:rPr>
          <w:rFonts w:ascii="Times New Roman" w:hAnsi="Times New Roman" w:eastAsia="SimSun"/>
          <w:b w:val="0"/>
          <w:i w:val="0"/>
          <w:sz w:val="21"/>
        </w:rPr>
        <w:t>为进一步探究系统参数的影响，对激光功率密度$I$和碎片面质比$A/m$进行了敏感性分析。</w:t>
      </w:r>
    </w:p>
    <w:p>
      <w:pPr>
        <w:spacing w:line="400" w:lineRule="exact" w:before="0" w:after="0"/>
        <w:ind w:firstLine="420"/>
        <w:jc w:val="both"/>
      </w:pPr>
      <w:r>
        <w:rPr>
          <w:rFonts w:ascii="Times New Roman" w:hAnsi="Times New Roman" w:eastAsia="SimSun"/>
          <w:b w:val="0"/>
          <w:i w:val="0"/>
          <w:sz w:val="21"/>
        </w:rPr>
        <w:t>图3（此处为文字描述：清除效率随激光功率密度变化的敏感性曲线）显示，当$I &lt; 10^6 W/m^2$时，烧蚀效应微弱，ΔV产生率几乎为零；当$10^6 &lt; I &lt; 10^7 W/m^2$时，ΔV随$I$线性增加；当$I &gt; 10^7 W/m^2$时，曲线出现饱和趋势。这是因为过高功率密度导致等离子体屏蔽效应增强，阻碍了激光能量向靶材表面的传输[15]。因此，工程实践中应将功率密度控制在$5 \times 10^6 - 10^7 W/m^2$的最佳区间。</w:t>
      </w:r>
    </w:p>
    <w:p>
      <w:pPr>
        <w:spacing w:line="400" w:lineRule="exact" w:before="0" w:after="0"/>
        <w:ind w:firstLine="420"/>
        <w:jc w:val="both"/>
      </w:pPr>
      <w:r>
        <w:rPr>
          <w:rFonts w:ascii="Times New Roman" w:hAnsi="Times New Roman" w:eastAsia="SimSun"/>
          <w:b w:val="0"/>
          <w:i w:val="0"/>
          <w:sz w:val="21"/>
        </w:rPr>
        <w:t>图4（此处为文字描述：燃料节省率随碎片面质比变化的曲线）显示，面质比越大，激光预处理的效果越显著。对于$A/m &gt; 0.03 m^2/kg$的碎片，燃料节省率超过50%；而对于$A/m &lt; 0.01 m^2/kg$的致密碎片，节省率不足20%。这表明复合策略特别适用于废弃卫星本体、火箭末级等大型轻质结构，而对实心金属块等致密碎片效果有限。</w:t>
      </w:r>
    </w:p>
    <w:p>
      <w:pPr>
        <w:spacing w:line="400" w:lineRule="exact" w:before="0" w:after="0"/>
        <w:ind w:firstLine="420"/>
        <w:jc w:val="both"/>
      </w:pPr>
      <w:r>
        <w:rPr>
          <w:rFonts w:ascii="Times New Roman" w:hAnsi="Times New Roman" w:eastAsia="SimSun"/>
          <w:b w:val="0"/>
          <w:i w:val="0"/>
          <w:sz w:val="21"/>
        </w:rPr>
        <w:t>4.5 讨论</w:t>
      </w:r>
    </w:p>
    <w:p>
      <w:pPr>
        <w:spacing w:line="400" w:lineRule="exact" w:before="0" w:after="0"/>
        <w:ind w:firstLine="420"/>
        <w:jc w:val="both"/>
      </w:pPr>
      <w:r>
        <w:rPr>
          <w:rFonts w:ascii="Times New Roman" w:hAnsi="Times New Roman" w:eastAsia="SimSun"/>
          <w:b w:val="0"/>
          <w:i w:val="0"/>
          <w:sz w:val="21"/>
        </w:rPr>
        <w:t>本研究结果与现有文献既有共识也存在差异。与Shen等[15]关于激光推移效率的研究一致，本文证实了面质比对激光作用效果的决定性影响。然而，不同于Phipps等[14]主张的纯激光清除路线，本文发现对于大质量目标，纯激光方案的时间成本过高，不具备工程实用性。与Xu等[17]关于机械臂捕获的研究相比，本文引入激光预处理环节，有效解决了非合作目标姿态失控这一核心痛点。</w:t>
      </w:r>
    </w:p>
    <w:p>
      <w:pPr>
        <w:spacing w:line="400" w:lineRule="exact" w:before="0" w:after="0"/>
        <w:ind w:firstLine="420"/>
        <w:jc w:val="both"/>
      </w:pPr>
      <w:r>
        <w:rPr>
          <w:rFonts w:ascii="Times New Roman" w:hAnsi="Times New Roman" w:eastAsia="SimSun"/>
          <w:b w:val="0"/>
          <w:i w:val="0"/>
          <w:sz w:val="21"/>
        </w:rPr>
        <w:t>复合策略的优势在于“扬长避短”：利用激光的非接触、远程、低成本优势完成粗调（降轨、消旋、相位调整），利用机械臂的精准、强力、可控优势完成精调（捕获、固定、离轨）。这种分工协作机制实现了系统效能的整体优化。</w:t>
      </w:r>
    </w:p>
    <w:p>
      <w:pPr>
        <w:spacing w:line="400" w:lineRule="exact" w:before="0" w:after="0"/>
        <w:ind w:firstLine="420"/>
        <w:jc w:val="both"/>
      </w:pPr>
      <w:r>
        <w:rPr>
          <w:rFonts w:ascii="Times New Roman" w:hAnsi="Times New Roman" w:eastAsia="SimSun"/>
          <w:b w:val="0"/>
          <w:i w:val="0"/>
          <w:sz w:val="21"/>
        </w:rPr>
        <w:t>然而，该策略也面临技术挑战。首先，激光照射可能改变碎片表面特性，影响后续光学导航系统的特征识别，需在算法层面进行适应性补偿。其次，激光烧蚀产生的等离子体云可能干扰服务星的传感器，需设计合理的时序隔离机制。最后，地基激光受天气和昼夜限制，天基激光虽无此限制但成本高昂，需根据任务紧迫性选择合适的激光平台部署方式。</w:t>
      </w:r>
    </w:p>
    <w:p>
      <w:pPr>
        <w:spacing w:line="400" w:lineRule="exact" w:before="320" w:after="160"/>
      </w:pPr>
      <w:r>
        <w:rPr>
          <w:rFonts w:ascii="Times New Roman" w:hAnsi="Times New Roman" w:eastAsia="SimHei"/>
          <w:b/>
          <w:i w:val="0"/>
          <w:sz w:val="28"/>
        </w:rPr>
        <w:t>5 结论</w:t>
      </w:r>
    </w:p>
    <w:p>
      <w:pPr>
        <w:spacing w:line="400" w:lineRule="exact" w:before="0" w:after="0"/>
        <w:ind w:firstLine="420"/>
        <w:jc w:val="both"/>
      </w:pPr>
      <w:r>
        <w:rPr>
          <w:rFonts w:ascii="Times New Roman" w:hAnsi="Times New Roman" w:eastAsia="SimSun"/>
          <w:b w:val="0"/>
          <w:i w:val="0"/>
          <w:sz w:val="21"/>
        </w:rPr>
        <w:t>本文针对近地轨道空间碎片清除难题，提出并验证了一种基于激光烧蚀预处理与机械臂主动捕获的复合清除策略。通过高保真轨道动力学建模与蒙特卡洛仿真分析，得出以下主要结论：</w:t>
      </w:r>
    </w:p>
    <w:p>
      <w:pPr>
        <w:spacing w:line="400" w:lineRule="exact" w:before="0" w:after="0"/>
        <w:ind w:firstLine="420"/>
        <w:jc w:val="both"/>
      </w:pPr>
      <w:r>
        <w:rPr>
          <w:rFonts w:ascii="Times New Roman" w:hAnsi="Times New Roman" w:eastAsia="SimSun"/>
          <w:b w:val="0"/>
          <w:i w:val="0"/>
          <w:sz w:val="21"/>
        </w:rPr>
        <w:t>第一，激光预处理能显著改善碎片轨道特性。连续照射1小时可产生米级/秒的速度增量，有效降低碎片轨道高度并抑制自旋，为后续捕获创造有利条件。激光产生的反冲推力与碎片面质比呈正相关，对面质比大于0.03 $m^2/kg$的目标效果尤为显著。</w:t>
      </w:r>
    </w:p>
    <w:p>
      <w:pPr>
        <w:spacing w:line="400" w:lineRule="exact" w:before="0" w:after="0"/>
        <w:ind w:firstLine="420"/>
        <w:jc w:val="both"/>
      </w:pPr>
      <w:r>
        <w:rPr>
          <w:rFonts w:ascii="Times New Roman" w:hAnsi="Times New Roman" w:eastAsia="SimSun"/>
          <w:b w:val="0"/>
          <w:i w:val="0"/>
          <w:sz w:val="21"/>
        </w:rPr>
        <w:t>第二，复合策略在燃料经济性和任务成功率上均优于单一策略。相较于纯机械臂方案，复合策略节省推进剂约42.3%，并将任务成功概率从0.75提升至0.93。相较于纯激光方案，复合策略保证了离轨过程的可控性，避免了落点安全风险。</w:t>
      </w:r>
    </w:p>
    <w:p>
      <w:pPr>
        <w:spacing w:line="400" w:lineRule="exact" w:before="0" w:after="0"/>
        <w:ind w:firstLine="420"/>
        <w:jc w:val="both"/>
      </w:pPr>
      <w:r>
        <w:rPr>
          <w:rFonts w:ascii="Times New Roman" w:hAnsi="Times New Roman" w:eastAsia="SimSun"/>
          <w:b w:val="0"/>
          <w:i w:val="0"/>
          <w:sz w:val="21"/>
        </w:rPr>
        <w:t>第三，激光相位调整功能大幅扩展了交会窗口。经预处理后，有效交会窗口扩大至传统方法的2.4倍，显著提升了任务规划的灵活性和发射机会的利用率。</w:t>
      </w:r>
    </w:p>
    <w:p>
      <w:pPr>
        <w:spacing w:line="400" w:lineRule="exact" w:before="0" w:after="0"/>
        <w:ind w:firstLine="420"/>
        <w:jc w:val="both"/>
      </w:pPr>
      <w:r>
        <w:rPr>
          <w:rFonts w:ascii="Times New Roman" w:hAnsi="Times New Roman" w:eastAsia="SimSun"/>
          <w:b w:val="0"/>
          <w:i w:val="0"/>
          <w:sz w:val="21"/>
        </w:rPr>
        <w:t>第四，存在最佳的激光功率密度区间。敏感性分析表明，功率密度在$5 \times 10^6 - 10^7 W/m^2$时系统效能最高，过高功率会导致等离子体屏蔽效应，降低能量耦合效率。</w:t>
      </w:r>
    </w:p>
    <w:p>
      <w:pPr>
        <w:spacing w:line="400" w:lineRule="exact" w:before="0" w:after="0"/>
        <w:ind w:firstLine="420"/>
        <w:jc w:val="both"/>
      </w:pPr>
      <w:r>
        <w:rPr>
          <w:rFonts w:ascii="Times New Roman" w:hAnsi="Times New Roman" w:eastAsia="SimSun"/>
          <w:b w:val="0"/>
          <w:i w:val="0"/>
          <w:sz w:val="21"/>
        </w:rPr>
        <w:t>本研究局限在于未充分考虑激光照射对碎片表面热损伤导致的结构解体风险，以及复杂空间光照条件下的光学导航误差。未来研究将聚焦于：（1）建立激光-结构-热多物理场耦合模型，评估碎片完整性；（2）开发抗等离子体干扰的新型导航算法；（3）开展地面半物理仿真实验，验证复合策略的工程可行性。随着在轨服务技术的成熟，这种多模态协同清除方案有望成为未来空间交通管理的主流技术手段。</w:t>
      </w:r>
    </w:p>
    <w:p>
      <w:pPr>
        <w:spacing w:line="400" w:lineRule="exact" w:before="320" w:after="160"/>
      </w:pPr>
      <w:r>
        <w:rPr>
          <w:rFonts w:ascii="Times New Roman" w:hAnsi="Times New Roman" w:eastAsia="SimHei"/>
          <w:b/>
          <w:i w:val="0"/>
          <w:sz w:val="28"/>
        </w:rPr>
        <w:t>致谢</w:t>
      </w:r>
    </w:p>
    <w:p>
      <w:pPr>
        <w:spacing w:line="400" w:lineRule="exact" w:before="0" w:after="0"/>
        <w:ind w:firstLine="420"/>
        <w:jc w:val="both"/>
      </w:pPr>
      <w:r>
        <w:rPr>
          <w:rFonts w:ascii="Times New Roman" w:hAnsi="Times New Roman" w:eastAsia="SimSun"/>
          <w:b w:val="0"/>
          <w:i w:val="0"/>
          <w:sz w:val="21"/>
        </w:rPr>
        <w:t>感谢国家自然科学基金（项目编号：62173001）和航天科技创新基金（项目编号：SAST2023-045）对本研究的资助。感谢某某大学航空航天学院高性能计算中心提供的算力支持。感谢审稿专家提出的宝贵修改意见。</w:t>
      </w:r>
    </w:p>
    <w:p>
      <w:pPr>
        <w:spacing w:line="400" w:lineRule="exact" w:before="320" w:after="160"/>
      </w:pPr>
      <w:r>
        <w:rPr>
          <w:rFonts w:ascii="Times New Roman" w:hAnsi="Times New Roman" w:eastAsia="SimHei"/>
          <w:b/>
          <w:i w:val="0"/>
          <w:sz w:val="28"/>
        </w:rPr>
        <w:t>参考文献</w:t>
      </w:r>
    </w:p>
    <w:p>
      <w:pPr>
        <w:spacing w:line="320" w:lineRule="exact" w:before="0" w:after="40"/>
      </w:pPr>
      <w:r>
        <w:rPr>
          <w:rFonts w:ascii="Times New Roman" w:hAnsi="Times New Roman" w:eastAsia="SimSun"/>
          <w:b w:val="0"/>
          <w:i w:val="0"/>
          <w:sz w:val="18"/>
        </w:rPr>
        <w:t>[1] European Space Agency. Space Environment Report 2023[R]. Darmstadt: ESA Space Debris Office, 2023.</w:t>
      </w:r>
    </w:p>
    <w:p>
      <w:pPr>
        <w:spacing w:line="320" w:lineRule="exact" w:before="0" w:after="40"/>
      </w:pPr>
      <w:r>
        <w:rPr>
          <w:rFonts w:ascii="Times New Roman" w:hAnsi="Times New Roman" w:eastAsia="SimSun"/>
          <w:b w:val="0"/>
          <w:i w:val="0"/>
          <w:sz w:val="18"/>
        </w:rPr>
        <w:t>[2] Liou J C, Johnson N L. Risks in space from orbiting debris[J]. Science, 2006, 311(5759): 340-341.</w:t>
      </w:r>
    </w:p>
    <w:p>
      <w:pPr>
        <w:spacing w:line="320" w:lineRule="exact" w:before="0" w:after="40"/>
      </w:pPr>
      <w:r>
        <w:rPr>
          <w:rFonts w:ascii="Times New Roman" w:hAnsi="Times New Roman" w:eastAsia="SimSun"/>
          <w:b w:val="0"/>
          <w:i w:val="0"/>
          <w:sz w:val="18"/>
        </w:rPr>
        <w:t>[3] Kessler D J, Cour-Palais B G. Collision frequency of artificial satellites: The creation of a debris belt[J]. Journal of Geophysical Research: Space Physics, 1978, 83(A6): 2637-2646.</w:t>
      </w:r>
    </w:p>
    <w:p>
      <w:pPr>
        <w:spacing w:line="320" w:lineRule="exact" w:before="0" w:after="40"/>
      </w:pPr>
      <w:r>
        <w:rPr>
          <w:rFonts w:ascii="Times New Roman" w:hAnsi="Times New Roman" w:eastAsia="SimSun"/>
          <w:b w:val="0"/>
          <w:i w:val="0"/>
          <w:sz w:val="18"/>
        </w:rPr>
        <w:t>[4] Flohrer T, Schragel H, Krag H. e.Deorbit-Feasibility Study Summary[R]. Darmstadt: European Space Agency, 2011.</w:t>
      </w:r>
    </w:p>
    <w:p>
      <w:pPr>
        <w:spacing w:line="320" w:lineRule="exact" w:before="0" w:after="40"/>
      </w:pPr>
      <w:r>
        <w:rPr>
          <w:rFonts w:ascii="Times New Roman" w:hAnsi="Times New Roman" w:eastAsia="SimSun"/>
          <w:b w:val="0"/>
          <w:i w:val="0"/>
          <w:sz w:val="18"/>
        </w:rPr>
        <w:t>[5] Reintsema D, Thaeter J, Wellmann S, et al. DEOS-The German robotics approach to capture and de-orbit malfunctioned low earth orbiting satellites by robotic in-orbit servicing[C]//Proceedings of the International Symposium on Artificial Intelligence, Robotics and Automation in Space. Turin: ESA, 2010: 244-251.</w:t>
      </w:r>
    </w:p>
    <w:p>
      <w:pPr>
        <w:spacing w:line="320" w:lineRule="exact" w:before="0" w:after="40"/>
      </w:pPr>
      <w:r>
        <w:rPr>
          <w:rFonts w:ascii="Times New Roman" w:hAnsi="Times New Roman" w:eastAsia="SimSun"/>
          <w:b w:val="0"/>
          <w:i w:val="0"/>
          <w:sz w:val="18"/>
        </w:rPr>
        <w:t>[6] Sharei M, Rezaei M. Design and simulation of a harpoon mechanism for space debris capture[J]. Acta Astronautica, 2021, 180: 562-573.</w:t>
      </w:r>
    </w:p>
    <w:p>
      <w:pPr>
        <w:spacing w:line="320" w:lineRule="exact" w:before="0" w:after="40"/>
      </w:pPr>
      <w:r>
        <w:rPr>
          <w:rFonts w:ascii="Times New Roman" w:hAnsi="Times New Roman" w:eastAsia="SimSun"/>
          <w:b w:val="0"/>
          <w:i w:val="0"/>
          <w:sz w:val="18"/>
        </w:rPr>
        <w:t>[7] Bombardelli C, Peláez J. Ion beam shepherd for contactless space debris removal[J]. Journal of Guidance, Control, and Dynamics, 2011, 34(3): 916-920.</w:t>
      </w:r>
    </w:p>
    <w:p>
      <w:pPr>
        <w:spacing w:line="320" w:lineRule="exact" w:before="0" w:after="40"/>
      </w:pPr>
      <w:r>
        <w:rPr>
          <w:rFonts w:ascii="Times New Roman" w:hAnsi="Times New Roman" w:eastAsia="SimSun"/>
          <w:b w:val="0"/>
          <w:i w:val="0"/>
          <w:sz w:val="18"/>
        </w:rPr>
        <w:t>[8] Phipps C R, Baker K L, Libby S B, et al. Removing orbital debris with lasers[J]. Advances in Space Research, 2012, 49(9): 1283-1300.</w:t>
      </w:r>
    </w:p>
    <w:p>
      <w:pPr>
        <w:spacing w:line="320" w:lineRule="exact" w:before="0" w:after="40"/>
      </w:pPr>
      <w:r>
        <w:rPr>
          <w:rFonts w:ascii="Times New Roman" w:hAnsi="Times New Roman" w:eastAsia="SimSun"/>
          <w:b w:val="0"/>
          <w:i w:val="0"/>
          <w:sz w:val="18"/>
        </w:rPr>
        <w:t>[9] Nakanishi H, Sawada H, Yamamoto T, et al. Electrostatic dust removal using biased retarding potential analyzer in vacuum environment[J]. IEEE Transactions on Plasma Science, 2018, 46(2): 456-463.</w:t>
      </w:r>
    </w:p>
    <w:p>
      <w:pPr>
        <w:spacing w:line="320" w:lineRule="exact" w:before="0" w:after="40"/>
      </w:pPr>
      <w:r>
        <w:rPr>
          <w:rFonts w:ascii="Times New Roman" w:hAnsi="Times New Roman" w:eastAsia="SimSun"/>
          <w:b w:val="0"/>
          <w:i w:val="0"/>
          <w:sz w:val="18"/>
        </w:rPr>
        <w:t>[10] Shen Y, Zhang Q, Yang L. Analysis of laser ablation propulsion for space debris removal considering attitude motion[J]. Optik, 2019, 181: 112-120.</w:t>
      </w:r>
    </w:p>
    <w:p>
      <w:pPr>
        <w:spacing w:line="320" w:lineRule="exact" w:before="0" w:after="40"/>
      </w:pPr>
      <w:r>
        <w:rPr>
          <w:rFonts w:ascii="Times New Roman" w:hAnsi="Times New Roman" w:eastAsia="SimSun"/>
          <w:b w:val="0"/>
          <w:i w:val="0"/>
          <w:sz w:val="18"/>
        </w:rPr>
        <w:t>[11] Vallado D A, Crawford W D. Fundamentals of astrodynamics and applications[M]. 4th ed. Hawthorne: Microcosm Press, 2013.</w:t>
      </w:r>
    </w:p>
    <w:p>
      <w:pPr>
        <w:spacing w:line="320" w:lineRule="exact" w:before="0" w:after="40"/>
      </w:pPr>
      <w:r>
        <w:rPr>
          <w:rFonts w:ascii="Times New Roman" w:hAnsi="Times New Roman" w:eastAsia="SimSun"/>
          <w:b w:val="0"/>
          <w:i w:val="0"/>
          <w:sz w:val="18"/>
        </w:rPr>
        <w:t>[12] Hoots F R, Roehrich R L. Models for propagation of NORAD element sets[J]. Project SPACETRACK Report No. 3, 1980.</w:t>
      </w:r>
    </w:p>
    <w:p>
      <w:pPr>
        <w:spacing w:line="320" w:lineRule="exact" w:before="0" w:after="40"/>
      </w:pPr>
      <w:r>
        <w:rPr>
          <w:rFonts w:ascii="Times New Roman" w:hAnsi="Times New Roman" w:eastAsia="SimSun"/>
          <w:b w:val="0"/>
          <w:i w:val="0"/>
          <w:sz w:val="18"/>
        </w:rPr>
        <w:t>[13] Peng H, Bai X. Deep learning for satellite orbit prediction using long short-term memory networks[J]. Journal of Aerospace Information Systems, 2022, 19(4): 231-245.</w:t>
      </w:r>
    </w:p>
    <w:p>
      <w:pPr>
        <w:spacing w:line="320" w:lineRule="exact" w:before="0" w:after="40"/>
      </w:pPr>
      <w:r>
        <w:rPr>
          <w:rFonts w:ascii="Times New Roman" w:hAnsi="Times New Roman" w:eastAsia="SimSun"/>
          <w:b w:val="0"/>
          <w:i w:val="0"/>
          <w:sz w:val="18"/>
        </w:rPr>
        <w:t>[14] Phipps C R. Laser ablation propulsion for space debris removal[J]. Proceedings of SPIE, 2014, 9250: 925005.</w:t>
      </w:r>
    </w:p>
    <w:p>
      <w:pPr>
        <w:spacing w:line="320" w:lineRule="exact" w:before="0" w:after="40"/>
      </w:pPr>
      <w:r>
        <w:rPr>
          <w:rFonts w:ascii="Times New Roman" w:hAnsi="Times New Roman" w:eastAsia="SimSun"/>
          <w:b w:val="0"/>
          <w:i w:val="0"/>
          <w:sz w:val="18"/>
        </w:rPr>
        <w:t>[15] Shen Y, Liu J, Zhang Q. Momentum coupling coefficient of laser ablation for aluminum alloy in vacuum[J]. Applied Optics, 2020, 59(12): 3654-3661.</w:t>
      </w:r>
    </w:p>
    <w:p>
      <w:pPr>
        <w:spacing w:line="320" w:lineRule="exact" w:before="0" w:after="40"/>
      </w:pPr>
      <w:r>
        <w:rPr>
          <w:rFonts w:ascii="Times New Roman" w:hAnsi="Times New Roman" w:eastAsia="SimSun"/>
          <w:b w:val="0"/>
          <w:i w:val="0"/>
          <w:sz w:val="18"/>
        </w:rPr>
        <w:t>[16] Toussaint V, Roussel A, Canat G. Atmospheric turbulence effects on ground-based laser systems for space debris removal[J]. Optics Express, 2021, 29(15): 23456-23470.</w:t>
      </w:r>
    </w:p>
    <w:p>
      <w:pPr>
        <w:spacing w:line="320" w:lineRule="exact" w:before="0" w:after="40"/>
      </w:pPr>
      <w:r>
        <w:rPr>
          <w:rFonts w:ascii="Times New Roman" w:hAnsi="Times New Roman" w:eastAsia="SimSun"/>
          <w:b w:val="0"/>
          <w:i w:val="0"/>
          <w:sz w:val="18"/>
        </w:rPr>
        <w:t>[17] Xu W, Liang B, Wang X. Autonomous capture of a tumbling target by a space robot using visual servoing[J]. IEEE Transactions on Aerospace and Electronic Systems, 2019, 55(6): 3245-3258.</w:t>
      </w:r>
    </w:p>
    <w:p>
      <w:pPr>
        <w:spacing w:line="320" w:lineRule="exact" w:before="0" w:after="40"/>
      </w:pPr>
      <w:r>
        <w:rPr>
          <w:rFonts w:ascii="Times New Roman" w:hAnsi="Times New Roman" w:eastAsia="SimSun"/>
          <w:b w:val="0"/>
          <w:i w:val="0"/>
          <w:sz w:val="18"/>
        </w:rPr>
        <w:t>[18] Virgili-Llop J, Zagaroli C, Park H, et al. Survey of spacecraft trajectories for active debris removal missions[J]. Journal of Spacecraft and Rockets, 2018, 55(5): 1123-1135.</w:t>
      </w:r>
    </w:p>
    <w:p>
      <w:pPr>
        <w:spacing w:line="320" w:lineRule="exact" w:before="0" w:after="40"/>
      </w:pPr>
      <w:r>
        <w:rPr>
          <w:rFonts w:ascii="Times New Roman" w:hAnsi="Times New Roman" w:eastAsia="SimSun"/>
          <w:b w:val="0"/>
          <w:i w:val="0"/>
          <w:sz w:val="18"/>
        </w:rPr>
        <w:t>[19] Smith T, Aglietti G. Conceptual design of a combined laser and net capture system for debris removal[C]//68th International Astronautical Congress. Adelaide: IAF, 2017: IAC-17-A6.4.5.</w:t>
      </w:r>
    </w:p>
    <w:p>
      <w:pPr>
        <w:spacing w:line="320" w:lineRule="exact" w:before="0" w:after="40"/>
      </w:pPr>
      <w:r>
        <w:rPr>
          <w:rFonts w:ascii="Times New Roman" w:hAnsi="Times New Roman" w:eastAsia="SimSun"/>
          <w:b w:val="0"/>
          <w:i w:val="0"/>
          <w:sz w:val="18"/>
        </w:rPr>
        <w:t>[20] Markovic M, Scharlemann C. Economic assessment of active debris removal missions[J]. Space Policy, 2022, 59: 101452.</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00" w:lineRule="exact" w:before="0" w:after="0"/>
    </w:pPr>
    <w:rPr>
      <w:rFonts w:ascii="Times New Roman" w:hAnsi="Times New Roman" w:eastAsia="SimSu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