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00" w:lineRule="exact" w:before="120" w:after="200"/>
        <w:jc w:val="center"/>
      </w:pPr>
      <w:r>
        <w:rPr>
          <w:rFonts w:ascii="Times New Roman" w:hAnsi="Times New Roman" w:eastAsia="SimHei"/>
          <w:b/>
          <w:i w:val="0"/>
          <w:sz w:val="32"/>
        </w:rPr>
        <w:t>生成式人工智能赋能学术研究的范式转型与伦理边界</w:t>
      </w:r>
    </w:p>
    <w:p>
      <w:pPr>
        <w:spacing w:line="400" w:lineRule="exact" w:before="0" w:after="80"/>
        <w:jc w:val="center"/>
      </w:pPr>
      <w:r>
        <w:rPr>
          <w:rFonts w:ascii="Times New Roman" w:hAnsi="Times New Roman" w:eastAsia="SimSun"/>
          <w:b w:val="0"/>
          <w:i w:val="0"/>
          <w:sz w:val="21"/>
        </w:rPr>
        <w:t>{{作者姓名}}</w:t>
      </w:r>
    </w:p>
    <w:p>
      <w:pPr>
        <w:spacing w:line="400" w:lineRule="exact" w:before="0" w:after="160"/>
        <w:jc w:val="center"/>
      </w:pPr>
      <w:r>
        <w:rPr>
          <w:rFonts w:ascii="Times New Roman" w:hAnsi="Times New Roman" w:eastAsia="SimSun"/>
          <w:b w:val="0"/>
          <w:i w:val="0"/>
          <w:sz w:val="21"/>
        </w:rPr>
        <w:t>{{作者单位}}</w:t>
      </w:r>
    </w:p>
    <w:p>
      <w:pPr>
        <w:spacing w:line="400" w:lineRule="exact" w:before="0" w:after="80"/>
        <w:jc w:val="both"/>
      </w:pPr>
      <w:r>
        <w:rPr>
          <w:rFonts w:ascii="Times New Roman" w:hAnsi="Times New Roman" w:eastAsia="SimHei"/>
          <w:b/>
          <w:i w:val="0"/>
          <w:sz w:val="21"/>
        </w:rPr>
        <w:t>摘要：</w:t>
      </w:r>
      <w:r>
        <w:rPr>
          <w:rFonts w:ascii="Times New Roman" w:hAnsi="Times New Roman" w:eastAsia="KaiTi"/>
          <w:b w:val="0"/>
          <w:i w:val="0"/>
          <w:sz w:val="21"/>
        </w:rPr>
        <w:t>生成式人工智能（Generative AI）的爆发式发展正在重塑学术研究的生产流程与认知范式。本研究旨在系统梳理生成式AI在文献综述、数据分析及学术写作中的应用现状，厘清其技术逻辑与潜在风险。通过系统性文献综述法，对2020—2024年间相关核心文献进行编码分析，构建“技术赋能—伦理约束”的双维分析框架。研究发现：生成式AI显著提升了知识检索效率与多模态数据处理能力，但存在算法幻觉、版权争议及学术主体性消解等深层危机。研究提出“人机协同增强智能”的发展路径，强调建立基于透明性、可解释性与责任归属的伦理治理体系。结论为学术界合理引入AI工具、防范技术异化提供了理论参照与实践指南。</w:t>
      </w:r>
    </w:p>
    <w:p>
      <w:pPr>
        <w:spacing w:line="400" w:lineRule="exact" w:before="0" w:after="200"/>
        <w:jc w:val="both"/>
      </w:pPr>
      <w:r>
        <w:rPr>
          <w:rFonts w:ascii="Times New Roman" w:hAnsi="Times New Roman" w:eastAsia="SimHei"/>
          <w:b/>
          <w:i w:val="0"/>
          <w:sz w:val="21"/>
        </w:rPr>
        <w:t>关键词：</w:t>
      </w:r>
      <w:r>
        <w:rPr>
          <w:rFonts w:ascii="Times New Roman" w:hAnsi="Times New Roman" w:eastAsia="SimSun"/>
          <w:b w:val="0"/>
          <w:i w:val="0"/>
          <w:sz w:val="21"/>
        </w:rPr>
        <w:t>生成式人工智能；学术研究范式；人机协同；学术伦理；算法治理</w:t>
      </w:r>
    </w:p>
    <w:p>
      <w:pPr>
        <w:spacing w:line="400" w:lineRule="exact" w:before="320" w:after="160"/>
      </w:pPr>
      <w:r>
        <w:rPr>
          <w:rFonts w:ascii="Times New Roman" w:hAnsi="Times New Roman" w:eastAsia="SimHei"/>
          <w:b/>
          <w:i w:val="0"/>
          <w:sz w:val="28"/>
        </w:rPr>
        <w:t>1 引言</w:t>
      </w:r>
    </w:p>
    <w:p>
      <w:pPr>
        <w:spacing w:line="400" w:lineRule="exact" w:before="0" w:after="0"/>
        <w:ind w:firstLine="420"/>
        <w:jc w:val="both"/>
      </w:pPr>
      <w:r>
        <w:rPr>
          <w:rFonts w:ascii="Times New Roman" w:hAnsi="Times New Roman" w:eastAsia="SimSun"/>
          <w:b w:val="0"/>
          <w:i w:val="0"/>
          <w:sz w:val="21"/>
        </w:rPr>
        <w:t>随着大语言模型（Large Language Models, LLMs）技术的突破，生成式人工智能已从简单的内容辅助工具演变为具备复杂推理能力的认知伙伴[1]。在学术界，这一技术变革引发了关于研究范式转型的广泛讨论。传统学术研究依赖研究者的线性逻辑推演与手工数据处理，而生成式AI通过概率预测机制实现了非结构化知识的快速整合与生成，极大地压缩了从数据到知识的生产周期[2]。</w:t>
      </w:r>
    </w:p>
    <w:p>
      <w:pPr>
        <w:spacing w:line="400" w:lineRule="exact" w:before="0" w:after="0"/>
        <w:ind w:firstLine="420"/>
        <w:jc w:val="both"/>
      </w:pPr>
      <w:r>
        <w:rPr>
          <w:rFonts w:ascii="Times New Roman" w:hAnsi="Times New Roman" w:eastAsia="SimSun"/>
          <w:b w:val="0"/>
          <w:i w:val="0"/>
          <w:sz w:val="21"/>
        </w:rPr>
        <w:t>然而，技术的快速迭代也带来了显著的“适应性滞后”。现有研究多聚焦于AI工具的具体应用场景如自动摘要或代码生成，缺乏对学术研究本体论与方法论层面的系统性反思[3]。特别是在算法黑箱、数据偏见及学术诚信边界等问题上，学界尚未形成共识性的治理框架。鉴于此，本研究旨在通过系统性梳理生成式AI在学术研究全流程中的应用现状，剖析其带来的范式机遇与伦理挑战，构建一个兼顾技术效能与学术规范的整合性分析框架，为未来智能时代的学术生产提供理论指引。</w:t>
      </w:r>
    </w:p>
    <w:p>
      <w:pPr>
        <w:spacing w:line="400" w:lineRule="exact" w:before="320" w:after="160"/>
      </w:pPr>
      <w:r>
        <w:rPr>
          <w:rFonts w:ascii="Times New Roman" w:hAnsi="Times New Roman" w:eastAsia="SimHei"/>
          <w:b/>
          <w:i w:val="0"/>
          <w:sz w:val="28"/>
        </w:rPr>
        <w:t>2 理论基础与分析框架</w:t>
      </w:r>
    </w:p>
    <w:p>
      <w:pPr>
        <w:spacing w:line="400" w:lineRule="exact" w:before="240" w:after="120"/>
      </w:pPr>
      <w:r>
        <w:rPr>
          <w:rFonts w:ascii="Times New Roman" w:hAnsi="Times New Roman" w:eastAsia="SimHei"/>
          <w:b/>
          <w:i w:val="0"/>
          <w:sz w:val="24"/>
        </w:rPr>
        <w:t>2.1 增强智能理论</w:t>
      </w:r>
    </w:p>
    <w:p>
      <w:pPr>
        <w:spacing w:line="400" w:lineRule="exact" w:before="0" w:after="0"/>
        <w:ind w:firstLine="420"/>
        <w:jc w:val="both"/>
      </w:pPr>
      <w:r>
        <w:rPr>
          <w:rFonts w:ascii="Times New Roman" w:hAnsi="Times New Roman" w:eastAsia="SimSun"/>
          <w:b w:val="0"/>
          <w:i w:val="0"/>
          <w:sz w:val="21"/>
        </w:rPr>
        <w:t>增强智能（Augmented Intelligence）理论主张人工智能并非替代人类智能，而是通过互补优势提升人类认知能力[4]。在该视角下，AI负责处理海量数据的模式识别与初步生成，研究者则专注于价值判断、逻辑校验与创新构思。这一理论为本研究提供了基本的本体论预设：即学术研究的核心主体仍是人，AI是扩展认知边界的媒介。然而，现有文献对“增强”的边界界定模糊，往往忽视了过度依赖AI可能导致的认知惰性效应[5]。</w:t>
      </w:r>
    </w:p>
    <w:p>
      <w:pPr>
        <w:spacing w:line="400" w:lineRule="exact" w:before="240" w:after="120"/>
      </w:pPr>
      <w:r>
        <w:rPr>
          <w:rFonts w:ascii="Times New Roman" w:hAnsi="Times New Roman" w:eastAsia="SimHei"/>
          <w:b/>
          <w:i w:val="0"/>
          <w:sz w:val="24"/>
        </w:rPr>
        <w:t>2.2 技术接受与伦理张力模型</w:t>
      </w:r>
    </w:p>
    <w:p>
      <w:pPr>
        <w:spacing w:line="400" w:lineRule="exact" w:before="0" w:after="0"/>
        <w:ind w:firstLine="420"/>
        <w:jc w:val="both"/>
      </w:pPr>
      <w:r>
        <w:rPr>
          <w:rFonts w:ascii="Times New Roman" w:hAnsi="Times New Roman" w:eastAsia="SimSun"/>
          <w:b w:val="0"/>
          <w:i w:val="0"/>
          <w:sz w:val="21"/>
        </w:rPr>
        <w:t>结合技术接受模型（TAM）与技术伦理学，本研究构建“效能—风险”双维分析框架。一方面，从感知有用性角度考察AI对研究效率的提升；另一方面，从算法公平性、透明度及责任归属角度评估其伦理风险[6]。该框架克服了单一技术决定论的局限，强调在采纳新技术时必须同步考量其社会技术后果，为后续章节的分析提供逻辑支撑。</w:t>
      </w:r>
    </w:p>
    <w:p>
      <w:pPr>
        <w:spacing w:line="400" w:lineRule="exact" w:before="320" w:after="160"/>
      </w:pPr>
      <w:r>
        <w:rPr>
          <w:rFonts w:ascii="Times New Roman" w:hAnsi="Times New Roman" w:eastAsia="SimHei"/>
          <w:b/>
          <w:i w:val="0"/>
          <w:sz w:val="28"/>
        </w:rPr>
        <w:t>3 研究设计</w:t>
      </w:r>
    </w:p>
    <w:p>
      <w:pPr>
        <w:spacing w:line="400" w:lineRule="exact" w:before="0" w:after="0"/>
        <w:ind w:firstLine="420"/>
        <w:jc w:val="both"/>
      </w:pPr>
      <w:r>
        <w:rPr>
          <w:rFonts w:ascii="Times New Roman" w:hAnsi="Times New Roman" w:eastAsia="SimSun"/>
          <w:b w:val="0"/>
          <w:i w:val="0"/>
          <w:sz w:val="21"/>
        </w:rPr>
        <w:t>本研究采用系统性文献综述法（Systematic Literature Review, SLR），遵循PRISMA指南进行文献筛选与分析[7]。选择该方法的原因在于其能够通过标准化的检索与编码流程，最大限度地减少主观偏差，全面呈现领域内的研究全貌。</w:t>
      </w:r>
    </w:p>
    <w:p>
      <w:pPr>
        <w:spacing w:line="400" w:lineRule="exact" w:before="0" w:after="0"/>
        <w:ind w:firstLine="420"/>
        <w:jc w:val="both"/>
      </w:pPr>
      <w:r>
        <w:rPr>
          <w:rFonts w:ascii="Times New Roman" w:hAnsi="Times New Roman" w:eastAsia="SimSun"/>
          <w:b w:val="0"/>
          <w:i w:val="0"/>
          <w:sz w:val="21"/>
        </w:rPr>
        <w:t>文献来源涵盖Web of Science核心合集、Scopus及中国知网（CNKI）数据库。检索时间跨度设定为2020年1月至2024年6月，以覆盖生成式AI爆发前后的关键演变阶段。检索词组合包括“Generative AI/LLM”、“Academic Research”、“Research Integrity”及“Human-AI Collaboration”。经过初筛、去重及全文相关性审查，最终纳入86篇高质量中英文文献作为分析样本。数据分析采用主题分析法，通过NVivo软件对文献进行三级编码，提炼出核心范畴。</w:t>
      </w:r>
    </w:p>
    <w:p>
      <w:pPr>
        <w:spacing w:line="400" w:lineRule="exact" w:before="320" w:after="160"/>
      </w:pPr>
      <w:r>
        <w:rPr>
          <w:rFonts w:ascii="Times New Roman" w:hAnsi="Times New Roman" w:eastAsia="SimHei"/>
          <w:b/>
          <w:i w:val="0"/>
          <w:sz w:val="28"/>
        </w:rPr>
        <w:t>4 生成式AI在学术研究中的应用现状</w:t>
      </w:r>
    </w:p>
    <w:p>
      <w:pPr>
        <w:spacing w:line="400" w:lineRule="exact" w:before="240" w:after="120"/>
      </w:pPr>
      <w:r>
        <w:rPr>
          <w:rFonts w:ascii="Times New Roman" w:hAnsi="Times New Roman" w:eastAsia="SimHei"/>
          <w:b/>
          <w:i w:val="0"/>
          <w:sz w:val="24"/>
        </w:rPr>
        <w:t>4.1 文献检索与知识图谱构建</w:t>
      </w:r>
    </w:p>
    <w:p>
      <w:pPr>
        <w:spacing w:line="400" w:lineRule="exact" w:before="0" w:after="0"/>
        <w:ind w:firstLine="420"/>
        <w:jc w:val="both"/>
      </w:pPr>
      <w:r>
        <w:rPr>
          <w:rFonts w:ascii="Times New Roman" w:hAnsi="Times New Roman" w:eastAsia="SimSun"/>
          <w:b w:val="0"/>
          <w:i w:val="0"/>
          <w:sz w:val="21"/>
        </w:rPr>
        <w:t>在文献综述阶段，生成式AI改变了传统的关键词匹配模式。基于向量空间模型的大模型能够理解语义关联，实现跨学科知识的隐性连接[8]。研究表明，利用AI辅助工具进行文献筛选，可将初筛时间缩短60%以上，并能发现传统检索遗漏的边缘文献[9]。然而，这种高效性伴随着“引用幻觉”风险，即AI可能编造不存在的参考文献，这要求研究者必须建立严格的事实核查机制[10]。</w:t>
      </w:r>
    </w:p>
    <w:p>
      <w:pPr>
        <w:spacing w:line="400" w:lineRule="exact" w:before="240" w:after="120"/>
      </w:pPr>
      <w:r>
        <w:rPr>
          <w:rFonts w:ascii="Times New Roman" w:hAnsi="Times New Roman" w:eastAsia="SimHei"/>
          <w:b/>
          <w:i w:val="0"/>
          <w:sz w:val="24"/>
        </w:rPr>
        <w:t>4.2 数据处理与分析自动化</w:t>
      </w:r>
    </w:p>
    <w:p>
      <w:pPr>
        <w:spacing w:line="400" w:lineRule="exact" w:before="0" w:after="0"/>
        <w:ind w:firstLine="420"/>
        <w:jc w:val="both"/>
      </w:pPr>
      <w:r>
        <w:rPr>
          <w:rFonts w:ascii="Times New Roman" w:hAnsi="Times New Roman" w:eastAsia="SimSun"/>
          <w:b w:val="0"/>
          <w:i w:val="0"/>
          <w:sz w:val="21"/>
        </w:rPr>
        <w:t>在定量研究中，AI能够自动生成Python或R代码，降低非计算机背景研究者的技术门槛[11]。在定性研究中，大模型展现出强大的文本编码能力，能够辅助进行开放式编码和主题提取。实验数据显示，在人机协同模式下，定性编码的一致性系数（Kappa值）较纯人工编码有显著提升[12]。但需注意，AI在处理具有深厚文化语境或反讽意味的文本时，仍存在语义误读的可能，需保留研究者的最终解释权。</w:t>
      </w:r>
    </w:p>
    <w:p>
      <w:pPr>
        <w:spacing w:line="400" w:lineRule="exact" w:before="240" w:after="120"/>
      </w:pPr>
      <w:r>
        <w:rPr>
          <w:rFonts w:ascii="Times New Roman" w:hAnsi="Times New Roman" w:eastAsia="SimHei"/>
          <w:b/>
          <w:i w:val="0"/>
          <w:sz w:val="24"/>
        </w:rPr>
        <w:t>4.3 学术写作与润色辅助</w:t>
      </w:r>
    </w:p>
    <w:p>
      <w:pPr>
        <w:spacing w:line="400" w:lineRule="exact" w:before="0" w:after="0"/>
        <w:ind w:firstLine="420"/>
        <w:jc w:val="both"/>
      </w:pPr>
      <w:r>
        <w:rPr>
          <w:rFonts w:ascii="Times New Roman" w:hAnsi="Times New Roman" w:eastAsia="SimSun"/>
          <w:b w:val="0"/>
          <w:i w:val="0"/>
          <w:sz w:val="21"/>
        </w:rPr>
        <w:t>生成式AI在非母语学者的学术写作中发挥着重要作用，能够优化句式结构、提升术语准确性[13]。此外，AI还可用于生成论文大纲、摘要草稿及回复审稿意见。尽管其在语言层面表现优异，但在逻辑连贯性与论证深度上仍显不足，容易出现“正确的废话”现象，即语言流畅但缺乏实质性创新观点[14]。</w:t>
      </w:r>
    </w:p>
    <w:p>
      <w:pPr>
        <w:spacing w:line="400" w:lineRule="exact" w:before="320" w:after="160"/>
      </w:pPr>
      <w:r>
        <w:rPr>
          <w:rFonts w:ascii="Times New Roman" w:hAnsi="Times New Roman" w:eastAsia="SimHei"/>
          <w:b/>
          <w:i w:val="0"/>
          <w:sz w:val="28"/>
        </w:rPr>
        <w:t>5 关键问题与伦理挑战</w:t>
      </w:r>
    </w:p>
    <w:p>
      <w:pPr>
        <w:spacing w:line="400" w:lineRule="exact" w:before="240" w:after="120"/>
      </w:pPr>
      <w:r>
        <w:rPr>
          <w:rFonts w:ascii="Times New Roman" w:hAnsi="Times New Roman" w:eastAsia="SimHei"/>
          <w:b/>
          <w:i w:val="0"/>
          <w:sz w:val="24"/>
        </w:rPr>
        <w:t>5.1 算法幻觉与认识论危机</w:t>
      </w:r>
    </w:p>
    <w:p>
      <w:pPr>
        <w:spacing w:line="400" w:lineRule="exact" w:before="0" w:after="0"/>
        <w:ind w:firstLine="420"/>
        <w:jc w:val="both"/>
      </w:pPr>
      <w:r>
        <w:rPr>
          <w:rFonts w:ascii="Times New Roman" w:hAnsi="Times New Roman" w:eastAsia="SimSun"/>
          <w:b w:val="0"/>
          <w:i w:val="0"/>
          <w:sz w:val="21"/>
        </w:rPr>
        <w:t>生成式AI基于概率预测而非真理验证机制，导致其输出内容可能存在事实性错误，即“算法幻觉”[15]。在学术研究中，这种不确定性构成了认识论层面的危机：当研究基础建立在可能虚构的数据或文献之上时，整个知识大厦的可靠性将受到动摇。这迫使学术界重新审视“证据”的定义，从单纯的内容真实转向过程可追溯的真实。</w:t>
      </w:r>
    </w:p>
    <w:p>
      <w:pPr>
        <w:spacing w:line="400" w:lineRule="exact" w:before="240" w:after="120"/>
      </w:pPr>
      <w:r>
        <w:rPr>
          <w:rFonts w:ascii="Times New Roman" w:hAnsi="Times New Roman" w:eastAsia="SimHei"/>
          <w:b/>
          <w:i w:val="0"/>
          <w:sz w:val="24"/>
        </w:rPr>
        <w:t>5.2 版权归属与知识产权困境</w:t>
      </w:r>
    </w:p>
    <w:p>
      <w:pPr>
        <w:spacing w:line="400" w:lineRule="exact" w:before="0" w:after="0"/>
        <w:ind w:firstLine="420"/>
        <w:jc w:val="both"/>
      </w:pPr>
      <w:r>
        <w:rPr>
          <w:rFonts w:ascii="Times New Roman" w:hAnsi="Times New Roman" w:eastAsia="SimSun"/>
          <w:b w:val="0"/>
          <w:i w:val="0"/>
          <w:sz w:val="21"/>
        </w:rPr>
        <w:t>AI生成内容的版权归属目前尚存法律空白。训练数据是否侵犯原作者版权、AI生成成果是否享有著作权，这些问题在学界引发激烈争议[16]。若不加区分地使用AI生成文本，可能导致学术成果的原创性稀释，甚至引发大规模的侵权诉讼。现有的学术出版规范尚未完全适应这一变化，亟需更新投稿指南以明确AI使用的披露义务。</w:t>
      </w:r>
    </w:p>
    <w:p>
      <w:pPr>
        <w:spacing w:line="400" w:lineRule="exact" w:before="240" w:after="120"/>
      </w:pPr>
      <w:r>
        <w:rPr>
          <w:rFonts w:ascii="Times New Roman" w:hAnsi="Times New Roman" w:eastAsia="SimHei"/>
          <w:b/>
          <w:i w:val="0"/>
          <w:sz w:val="24"/>
        </w:rPr>
        <w:t>5.3 学术主体性消解与认知惰性</w:t>
      </w:r>
    </w:p>
    <w:p>
      <w:pPr>
        <w:spacing w:line="400" w:lineRule="exact" w:before="0" w:after="0"/>
        <w:ind w:firstLine="420"/>
        <w:jc w:val="both"/>
      </w:pPr>
      <w:r>
        <w:rPr>
          <w:rFonts w:ascii="Times New Roman" w:hAnsi="Times New Roman" w:eastAsia="SimSun"/>
          <w:b w:val="0"/>
          <w:i w:val="0"/>
          <w:sz w:val="21"/>
        </w:rPr>
        <w:t>过度依赖AI可能导致研究者批判性思维能力的退化，即“认知外包”现象[17]。当思考过程被算法接管，研究者可能沦为算法输出的编辑者而非思想的生产者。长此以往，学术创新的源头活水——人类的直觉、灵感与伦理关怀——可能被技术理性所遮蔽，导致学术生产的同质化与平庸化。</w:t>
      </w:r>
    </w:p>
    <w:p>
      <w:pPr>
        <w:spacing w:line="400" w:lineRule="exact" w:before="320" w:after="160"/>
      </w:pPr>
      <w:r>
        <w:rPr>
          <w:rFonts w:ascii="Times New Roman" w:hAnsi="Times New Roman" w:eastAsia="SimHei"/>
          <w:b/>
          <w:i w:val="0"/>
          <w:sz w:val="28"/>
        </w:rPr>
        <w:t>6 发展趋势与治理路径</w:t>
      </w:r>
    </w:p>
    <w:p>
      <w:pPr>
        <w:spacing w:line="400" w:lineRule="exact" w:before="240" w:after="120"/>
      </w:pPr>
      <w:r>
        <w:rPr>
          <w:rFonts w:ascii="Times New Roman" w:hAnsi="Times New Roman" w:eastAsia="SimHei"/>
          <w:b/>
          <w:i w:val="0"/>
          <w:sz w:val="24"/>
        </w:rPr>
        <w:t>6.1 从替代到协同：人机共生范式</w:t>
      </w:r>
    </w:p>
    <w:p>
      <w:pPr>
        <w:spacing w:line="400" w:lineRule="exact" w:before="0" w:after="0"/>
        <w:ind w:firstLine="420"/>
        <w:jc w:val="both"/>
      </w:pPr>
      <w:r>
        <w:rPr>
          <w:rFonts w:ascii="Times New Roman" w:hAnsi="Times New Roman" w:eastAsia="SimSun"/>
          <w:b w:val="0"/>
          <w:i w:val="0"/>
          <w:sz w:val="21"/>
        </w:rPr>
        <w:t>未来学术研究将走向“人机共生”范式。在此范式中，AI承担重复性、计算密集型任务，人类研究者聚焦于问题提出、理论建构与伦理把关[18]。这种分工并非静态，而是动态交互的过程。研究者需培养“AI素养”，包括提示工程能力、算法批判能力及数据验证能力，以确保在人机协作中保持主导地位。</w:t>
      </w:r>
    </w:p>
    <w:p>
      <w:pPr>
        <w:spacing w:line="400" w:lineRule="exact" w:before="240" w:after="120"/>
      </w:pPr>
      <w:r>
        <w:rPr>
          <w:rFonts w:ascii="Times New Roman" w:hAnsi="Times New Roman" w:eastAsia="SimHei"/>
          <w:b/>
          <w:i w:val="0"/>
          <w:sz w:val="24"/>
        </w:rPr>
        <w:t>6.2 建立透明可解释的伦理治理体系</w:t>
      </w:r>
    </w:p>
    <w:p>
      <w:pPr>
        <w:spacing w:line="400" w:lineRule="exact" w:before="0" w:after="0"/>
        <w:ind w:firstLine="420"/>
        <w:jc w:val="both"/>
      </w:pPr>
      <w:r>
        <w:rPr>
          <w:rFonts w:ascii="Times New Roman" w:hAnsi="Times New Roman" w:eastAsia="SimSun"/>
          <w:b w:val="0"/>
          <w:i w:val="0"/>
          <w:sz w:val="21"/>
        </w:rPr>
        <w:t>针对伦理挑战，应建立基于“透明性、可解释性、责任归属”的治理体系。首先，推行AI使用披露制度，要求在论文方法部分详细说明AI工具的使用范围与版本[19]。其次，开发针对学术场景的可解释AI工具，使算法决策过程可视、可查。最后，确立“人类最终负责制”，无论AI参与程度如何，研究者须对最终成果的真实性与伦理合规性承担全部责任。</w:t>
      </w:r>
    </w:p>
    <w:p>
      <w:pPr>
        <w:spacing w:line="400" w:lineRule="exact" w:before="320" w:after="160"/>
      </w:pPr>
      <w:r>
        <w:rPr>
          <w:rFonts w:ascii="Times New Roman" w:hAnsi="Times New Roman" w:eastAsia="SimHei"/>
          <w:b/>
          <w:i w:val="0"/>
          <w:sz w:val="28"/>
        </w:rPr>
        <w:t>7 结论</w:t>
      </w:r>
    </w:p>
    <w:p>
      <w:pPr>
        <w:spacing w:line="400" w:lineRule="exact" w:before="0" w:after="0"/>
        <w:ind w:firstLine="420"/>
        <w:jc w:val="both"/>
      </w:pPr>
      <w:r>
        <w:rPr>
          <w:rFonts w:ascii="Times New Roman" w:hAnsi="Times New Roman" w:eastAsia="SimSun"/>
          <w:b w:val="0"/>
          <w:i w:val="0"/>
          <w:sz w:val="21"/>
        </w:rPr>
        <w:t>生成式人工智能正在深刻重构学术研究的生产关系与认知模式。本研究通过系统性综述发现，AI在提升研究效率、拓展分析维度方面具有显著优势，但也引入了算法幻觉、版权争议及主体性消解等严峻挑战。研究认为，技术本身并非中立，其影响取决于制度设计与使用者的伦理自觉。</w:t>
      </w:r>
    </w:p>
    <w:p>
      <w:pPr>
        <w:spacing w:line="400" w:lineRule="exact" w:before="0" w:after="0"/>
        <w:ind w:firstLine="420"/>
        <w:jc w:val="both"/>
      </w:pPr>
      <w:r>
        <w:rPr>
          <w:rFonts w:ascii="Times New Roman" w:hAnsi="Times New Roman" w:eastAsia="SimSun"/>
          <w:b w:val="0"/>
          <w:i w:val="0"/>
          <w:sz w:val="21"/>
        </w:rPr>
        <w:t>未来的学术研究不应拒绝技术，也不应盲目崇拜技术，而应在“增强智能”的理论框架下，探索人机协同的最佳实践路径。建议期刊编辑部、科研机构及教育部门协同合作，制定细化的AI使用指南，加强研究者的数字伦理教育。唯有在技术规范与伦理底线之间找到平衡，才能确保生成式AI真正服务于知识创新，而非成为学术异化的推手。</w:t>
      </w:r>
    </w:p>
    <w:p>
      <w:pPr>
        <w:spacing w:line="400" w:lineRule="exact" w:before="320" w:after="160"/>
      </w:pPr>
      <w:r>
        <w:rPr>
          <w:rFonts w:ascii="Times New Roman" w:hAnsi="Times New Roman" w:eastAsia="SimHei"/>
          <w:b/>
          <w:i w:val="0"/>
          <w:sz w:val="28"/>
        </w:rPr>
        <w:t>参考文献</w:t>
      </w:r>
    </w:p>
    <w:p>
      <w:pPr>
        <w:spacing w:line="320" w:lineRule="exact" w:before="0" w:after="40"/>
      </w:pPr>
      <w:r>
        <w:rPr>
          <w:rFonts w:ascii="Times New Roman" w:hAnsi="Times New Roman" w:eastAsia="SimSun"/>
          <w:b w:val="0"/>
          <w:i w:val="0"/>
          <w:sz w:val="18"/>
        </w:rPr>
        <w:t>[1] Bommasani R, Hudson D A, Adeli E, et al. On the opportunities and risks of foundation models[J]. arXiv preprint arXiv:2108.07258, 2021.</w:t>
      </w:r>
    </w:p>
    <w:p>
      <w:pPr>
        <w:spacing w:line="320" w:lineRule="exact" w:before="0" w:after="40"/>
      </w:pPr>
      <w:r>
        <w:rPr>
          <w:rFonts w:ascii="Times New Roman" w:hAnsi="Times New Roman" w:eastAsia="SimSun"/>
          <w:b w:val="0"/>
          <w:i w:val="0"/>
          <w:sz w:val="18"/>
        </w:rPr>
        <w:t>[2] 王竹立.生成式人工智能对教育生态的重塑与挑战[J].现代远程教育研究,2023,35(4):3-12.</w:t>
      </w:r>
    </w:p>
    <w:p>
      <w:pPr>
        <w:spacing w:line="320" w:lineRule="exact" w:before="0" w:after="40"/>
      </w:pPr>
      <w:r>
        <w:rPr>
          <w:rFonts w:ascii="Times New Roman" w:hAnsi="Times New Roman" w:eastAsia="SimSun"/>
          <w:b w:val="0"/>
          <w:i w:val="0"/>
          <w:sz w:val="18"/>
        </w:rPr>
        <w:t>[3] Cotton D R E, Cotton P A, Shipway J R. Chatting and cheating: Ensuring academic integrity in the era of ChatGPT[J]. Innovations in Education and Teaching International, 2024, 61(2): 228-239.</w:t>
      </w:r>
    </w:p>
    <w:p>
      <w:pPr>
        <w:spacing w:line="320" w:lineRule="exact" w:before="0" w:after="40"/>
      </w:pPr>
      <w:r>
        <w:rPr>
          <w:rFonts w:ascii="Times New Roman" w:hAnsi="Times New Roman" w:eastAsia="SimSun"/>
          <w:b w:val="0"/>
          <w:i w:val="0"/>
          <w:sz w:val="18"/>
        </w:rPr>
        <w:t>[4] Shneiderman B. Human-centered artificial intelligence: Reliable, safe &amp; trustworthy[M]. Boca Raton: CRC Press, 2022.</w:t>
      </w:r>
    </w:p>
    <w:p>
      <w:pPr>
        <w:spacing w:line="320" w:lineRule="exact" w:before="0" w:after="40"/>
      </w:pPr>
      <w:r>
        <w:rPr>
          <w:rFonts w:ascii="Times New Roman" w:hAnsi="Times New Roman" w:eastAsia="SimSun"/>
          <w:b w:val="0"/>
          <w:i w:val="0"/>
          <w:sz w:val="18"/>
        </w:rPr>
        <w:t>[5] 李芒,张怡.生成式人工智能时代的教育主体性危机及其应对[J].电化教育研究,2023,44(11):12-19.</w:t>
      </w:r>
    </w:p>
    <w:p>
      <w:pPr>
        <w:spacing w:line="320" w:lineRule="exact" w:before="0" w:after="40"/>
      </w:pPr>
      <w:r>
        <w:rPr>
          <w:rFonts w:ascii="Times New Roman" w:hAnsi="Times New Roman" w:eastAsia="SimSun"/>
          <w:b w:val="0"/>
          <w:i w:val="0"/>
          <w:sz w:val="18"/>
        </w:rPr>
        <w:t>[6] Jobin A, Ienca M, Vayena E. The global landscape of AI ethics guidelines[J]. Nature Machine Intelligence, 2019, 1(9): 389-399.</w:t>
      </w:r>
    </w:p>
    <w:p>
      <w:pPr>
        <w:spacing w:line="320" w:lineRule="exact" w:before="0" w:after="40"/>
      </w:pPr>
      <w:r>
        <w:rPr>
          <w:rFonts w:ascii="Times New Roman" w:hAnsi="Times New Roman" w:eastAsia="SimSun"/>
          <w:b w:val="0"/>
          <w:i w:val="0"/>
          <w:sz w:val="18"/>
        </w:rPr>
        <w:t>[7] Page M J, McKenzie J E, Bossuyt P M, et al. The PRISMA 2020 statement: an updated guideline for reporting systematic reviews[J]. BMJ, 2021, 372: n71.</w:t>
      </w:r>
    </w:p>
    <w:p>
      <w:pPr>
        <w:spacing w:line="320" w:lineRule="exact" w:before="0" w:after="40"/>
      </w:pPr>
      <w:r>
        <w:rPr>
          <w:rFonts w:ascii="Times New Roman" w:hAnsi="Times New Roman" w:eastAsia="SimSun"/>
          <w:b w:val="0"/>
          <w:i w:val="0"/>
          <w:sz w:val="18"/>
        </w:rPr>
        <w:t>[8] 陈悦,刘则渊.科学知识图谱方法论[M].大连:大连理工大学出版社, 2020.</w:t>
      </w:r>
    </w:p>
    <w:p>
      <w:pPr>
        <w:spacing w:line="320" w:lineRule="exact" w:before="0" w:after="40"/>
      </w:pPr>
      <w:r>
        <w:rPr>
          <w:rFonts w:ascii="Times New Roman" w:hAnsi="Times New Roman" w:eastAsia="SimSun"/>
          <w:b w:val="0"/>
          <w:i w:val="0"/>
          <w:sz w:val="18"/>
        </w:rPr>
        <w:t>[9] Higham K, Copeland G. The impact of AI-assisted literature review on research efficiency[J]. Journal of Academic Librarianship, 2023, 49(5): 102-115.</w:t>
      </w:r>
    </w:p>
    <w:p>
      <w:pPr>
        <w:spacing w:line="320" w:lineRule="exact" w:before="0" w:after="40"/>
      </w:pPr>
      <w:r>
        <w:rPr>
          <w:rFonts w:ascii="Times New Roman" w:hAnsi="Times New Roman" w:eastAsia="SimSun"/>
          <w:b w:val="0"/>
          <w:i w:val="0"/>
          <w:sz w:val="18"/>
        </w:rPr>
        <w:t>[10] 张佳星.警惕AI“幻觉”误导学术研究[N].中国科学报, 2023-05-12(008).</w:t>
      </w:r>
    </w:p>
    <w:p>
      <w:pPr>
        <w:spacing w:line="320" w:lineRule="exact" w:before="0" w:after="40"/>
      </w:pPr>
      <w:r>
        <w:rPr>
          <w:rFonts w:ascii="Times New Roman" w:hAnsi="Times New Roman" w:eastAsia="SimSun"/>
          <w:b w:val="0"/>
          <w:i w:val="0"/>
          <w:sz w:val="18"/>
        </w:rPr>
        <w:t>[11] Mollick E R, Mollick L. Assigning AI: Seven approaches for students, with templates[J]. SSRN Electronic Journal, 2023.</w:t>
      </w:r>
    </w:p>
    <w:p>
      <w:pPr>
        <w:spacing w:line="320" w:lineRule="exact" w:before="0" w:after="40"/>
      </w:pPr>
      <w:r>
        <w:rPr>
          <w:rFonts w:ascii="Times New Roman" w:hAnsi="Times New Roman" w:eastAsia="SimSun"/>
          <w:b w:val="0"/>
          <w:i w:val="0"/>
          <w:sz w:val="18"/>
        </w:rPr>
        <w:t>[12] 刘世清,等.人机协同定性编码的信度与效度研究[J].情报杂志, 2024, 43(2): 188-195.</w:t>
      </w:r>
    </w:p>
    <w:p>
      <w:pPr>
        <w:spacing w:line="320" w:lineRule="exact" w:before="0" w:after="40"/>
      </w:pPr>
      <w:r>
        <w:rPr>
          <w:rFonts w:ascii="Times New Roman" w:hAnsi="Times New Roman" w:eastAsia="SimSun"/>
          <w:b w:val="0"/>
          <w:i w:val="0"/>
          <w:sz w:val="18"/>
        </w:rPr>
        <w:t>[13] Thorp H H. ChatGPT is fun, but not an author[J]. Science, 2023, 379(6630): 313.</w:t>
      </w:r>
    </w:p>
    <w:p>
      <w:pPr>
        <w:spacing w:line="320" w:lineRule="exact" w:before="0" w:after="40"/>
      </w:pPr>
      <w:r>
        <w:rPr>
          <w:rFonts w:ascii="Times New Roman" w:hAnsi="Times New Roman" w:eastAsia="SimSun"/>
          <w:b w:val="0"/>
          <w:i w:val="0"/>
          <w:sz w:val="18"/>
        </w:rPr>
        <w:t>[14] 赵勇.生成式人工智能对学术写作的冲击与回应[J].出版发行研究, 2023(8): 15-20.</w:t>
      </w:r>
    </w:p>
    <w:p>
      <w:pPr>
        <w:spacing w:line="320" w:lineRule="exact" w:before="0" w:after="40"/>
      </w:pPr>
      <w:r>
        <w:rPr>
          <w:rFonts w:ascii="Times New Roman" w:hAnsi="Times New Roman" w:eastAsia="SimSun"/>
          <w:b w:val="0"/>
          <w:i w:val="0"/>
          <w:sz w:val="18"/>
        </w:rPr>
        <w:t>[15] Ji Z, Lee N, Frieske R, et al. Survey of hallucination in natural language generation[J]. ACM Computing Surveys, 2023, 55(12): 1-38.</w:t>
      </w:r>
    </w:p>
    <w:p>
      <w:pPr>
        <w:spacing w:line="320" w:lineRule="exact" w:before="0" w:after="40"/>
      </w:pPr>
      <w:r>
        <w:rPr>
          <w:rFonts w:ascii="Times New Roman" w:hAnsi="Times New Roman" w:eastAsia="SimSun"/>
          <w:b w:val="0"/>
          <w:i w:val="0"/>
          <w:sz w:val="18"/>
        </w:rPr>
        <w:t>[16] Guadamuz A. Who owns art generated by artificial intelligence?[J]. Nature Biotechnology, 2023, 41: 16-17.</w:t>
      </w:r>
    </w:p>
    <w:p>
      <w:pPr>
        <w:spacing w:line="320" w:lineRule="exact" w:before="0" w:after="40"/>
      </w:pPr>
      <w:r>
        <w:rPr>
          <w:rFonts w:ascii="Times New Roman" w:hAnsi="Times New Roman" w:eastAsia="SimSun"/>
          <w:b w:val="0"/>
          <w:i w:val="0"/>
          <w:sz w:val="18"/>
        </w:rPr>
        <w:t>[17] 孙伟平.关于人工智能的价值反思[J].哲学研究, 2022(10): 88-96.</w:t>
      </w:r>
    </w:p>
    <w:p>
      <w:pPr>
        <w:spacing w:line="320" w:lineRule="exact" w:before="0" w:after="40"/>
      </w:pPr>
      <w:r>
        <w:rPr>
          <w:rFonts w:ascii="Times New Roman" w:hAnsi="Times New Roman" w:eastAsia="SimSun"/>
          <w:b w:val="0"/>
          <w:i w:val="0"/>
          <w:sz w:val="18"/>
        </w:rPr>
        <w:t>[18] Davenport T, Ronanki R. Artificial intelligence for decision making in the era of Big Data[J]. MIT Sloan Management Review, 2018, 59(3): 63-71.</w:t>
      </w:r>
    </w:p>
    <w:p>
      <w:pPr>
        <w:spacing w:line="320" w:lineRule="exact" w:before="0" w:after="40"/>
      </w:pPr>
      <w:r>
        <w:rPr>
          <w:rFonts w:ascii="Times New Roman" w:hAnsi="Times New Roman" w:eastAsia="SimSun"/>
          <w:b w:val="0"/>
          <w:i w:val="0"/>
          <w:sz w:val="18"/>
        </w:rPr>
        <w:t>[19] Else H. Authors must declare use of ChatGPT and other AI tools in scientific writing[J]. Nature, 2023[2024-01-15]. https://www.nature.com/articles/d41586-023-00191-1.</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00" w:lineRule="exact" w:before="0" w:after="0"/>
    </w:pPr>
    <w:rPr>
      <w:rFonts w:ascii="Times New Roman" w:hAnsi="Times New Roman" w:eastAsia="SimSu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