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 w:before="120" w:after="200"/>
        <w:jc w:val="center"/>
      </w:pPr>
      <w:r>
        <w:rPr>
          <w:rFonts w:ascii="Times New Roman" w:hAnsi="Times New Roman" w:eastAsia="SimHei"/>
          <w:b/>
          <w:i w:val="0"/>
          <w:sz w:val="32"/>
        </w:rPr>
        <w:t>全球太空治理新范式：技术变革、商业崛起与国际合作机制</w:t>
      </w:r>
    </w:p>
    <w:p>
      <w:pPr>
        <w:spacing w:line="400" w:lineRule="exact" w:before="0" w:after="80"/>
        <w:jc w:val="center"/>
      </w:pPr>
      <w:r>
        <w:rPr>
          <w:rFonts w:ascii="Times New Roman" w:hAnsi="Times New Roman" w:eastAsia="SimSun"/>
          <w:b w:val="0"/>
          <w:i w:val="0"/>
          <w:sz w:val="21"/>
        </w:rPr>
        <w:t>{{作者姓名}}</w:t>
      </w:r>
    </w:p>
    <w:p>
      <w:pPr>
        <w:spacing w:line="400" w:lineRule="exact" w:before="0" w:after="160"/>
        <w:jc w:val="center"/>
      </w:pPr>
      <w:r>
        <w:rPr>
          <w:rFonts w:ascii="Times New Roman" w:hAnsi="Times New Roman" w:eastAsia="SimSun"/>
          <w:b w:val="0"/>
          <w:i w:val="0"/>
          <w:sz w:val="21"/>
        </w:rPr>
        <w:t>{{作者单位}}</w:t>
      </w:r>
    </w:p>
    <w:p>
      <w:pPr>
        <w:spacing w:line="400" w:lineRule="exact" w:before="0" w:after="80"/>
        <w:jc w:val="both"/>
      </w:pPr>
      <w:r>
        <w:rPr>
          <w:rFonts w:ascii="Times New Roman" w:hAnsi="Times New Roman" w:eastAsia="SimHei"/>
          <w:b/>
          <w:i w:val="0"/>
          <w:sz w:val="21"/>
        </w:rPr>
        <w:t>摘要：</w:t>
      </w:r>
      <w:r>
        <w:rPr>
          <w:rFonts w:ascii="Times New Roman" w:hAnsi="Times New Roman" w:eastAsia="KaiTi"/>
          <w:b w:val="0"/>
          <w:i w:val="0"/>
          <w:sz w:val="21"/>
        </w:rPr>
        <w:t>随着可重复使用火箭、卫星互联网及深空探测技术的突破，全球太空活动正经历从“国家主导”向“公私协同”的范式转型。本研究采用系统文献综述法，梳理2018—2024年间太空技术进展、商业化趋势及国际政策演变。研究发现：（1）可重复使用技术使近地轨道发射成本降低两个数量级，显著改变了太空进入的经济阈值；（2）商业航天通过垂直整合模式重塑产业链，但引发轨道资源拥挤与频谱竞争加剧；（3）现有《外层空间条约》体系在应对太空碎片治理、月球资源权属及军事化边界方面存在制度滞后。研究提出构建“多层级太空治理框架”，建议强化近地轨道交通管理多边机制，并确立地月空间资源开发的透明化原则，以平衡技术创新激励与太空可持续性。</w:t>
      </w:r>
    </w:p>
    <w:p>
      <w:pPr>
        <w:spacing w:line="400" w:lineRule="exact" w:before="0" w:after="200"/>
        <w:jc w:val="both"/>
      </w:pPr>
      <w:r>
        <w:rPr>
          <w:rFonts w:ascii="Times New Roman" w:hAnsi="Times New Roman" w:eastAsia="SimHei"/>
          <w:b/>
          <w:i w:val="0"/>
          <w:sz w:val="21"/>
        </w:rPr>
        <w:t>关键词：</w:t>
      </w:r>
      <w:r>
        <w:rPr>
          <w:rFonts w:ascii="Times New Roman" w:hAnsi="Times New Roman" w:eastAsia="SimSun"/>
          <w:b w:val="0"/>
          <w:i w:val="0"/>
          <w:sz w:val="21"/>
        </w:rPr>
        <w:t>商业航天；可重复使用运载器；太空治理；轨道可持续性；深空探测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1 引言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21世纪20年代以来，全球太空领域呈现出技术迭代加速、商业资本涌入及地缘政治博弈加剧的三重特征。传统上由主权国家垄断的太空探索活动，正逐步演变为政府机构与私营企业深度耦合的复杂生态系统[1]。据美国联邦航空管理局（FAA）统计，2023年全球发射次数突破200次，其中商业发射占比超过85%，标志着“新太空”（New Space）时代的全面到来[2]。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然而，技术的指数级进步与法律制度的线性演进之间存在显著张力。一方面，可重复使用运载器大幅降低了进入太空的成本，使得大规模星座部署成为可能；另一方面，近地轨道（LEO）日益拥挤，太空碎片碰撞风险呈非线性增长，对太空活动的长期可持续性构成严峻挑战[3]。此外，随着阿尔忒弥斯计划（Artemis Program）的推进，月球及深空资源的开发权属问题再次成为国际法争论的焦点。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现有研究多聚焦于单一维度的技术分析或政策解读，缺乏将技术变革、商业逻辑与国际治理纳入统一框架的系统性考察。鉴于此，本研究旨在通过梳理近期技术进展与商业案例，剖析当前太空治理体系的结构性缺陷，并提出适应新范式的国际合作机制建议，以期为构建安全、有序、可持续的太空秩序提供理论参考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2 研究设计与方法论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本研究属于理论综合型综述，采用系统文献综述法（Systematic Literature Review, SLR）与比较案例分析法相结合的研究策略。选择该方法论范式的理由在于：太空领域具有高度的跨学科性，涉及航空航天工程、产业经济学与国际法学，单一学科视角难以全面解释当前的范式转型。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首先，在文献筛选上，以Web of Science核心合集、Scopus及NASA Technical Reports Server为数据源，检索关键词包括“Reusable Launch Vehicle”、“Space Debris Mitigation”、“Commercial Space Policy”等，时间跨度限定为2018—2024年，以确保反映最新技术动态。其次，在理论框架构建上，引入“技术-制度复合体”（Techno-Institutional Complex）理论[4]，用于解释技术革新如何倒逼制度变迁，以及制度滞后如何反作用于技术发展路径。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最后，在案例选择上，重点选取SpaceX、蓝色起源（Blue Origin）等代表性企业，以及《阿尔忒弥斯协定》等多边协议作为分析对象，通过三角验证确保结论的稳健性。本研究的创新点在于突破了传统“技术决定论”或“制度约束论”的二元对立，强调技术与制度在动态博弈中的共同演化机制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3 深空探测与进入空间的技术跃迁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技术是驱动太空范式转型的核心变量。近年来，运载火箭回收技术、深空通信网络及在轨服务能力的突破，从根本上重构了太空任务的成本结构与操作边界。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3.1 可重复使用运载器的经济效应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可重复使用运载器（RLV）被视为太空运输领域的“集装箱时刻”。以SpaceX的猎鹰9号（Falcon 9）为例，其一级火箭的重复使用次数已突破20次，将近地轨道发射成本从传统一次性火箭的约10,000美元/千克降至2,000美元/千克以下[5]。这种成本结构的颠覆性变化产生了两个深远影响：一是激发了低利润边际的商业应用（如大规模物联网星座）；二是改变了任务设计逻辑，使得“过度设计”以换取可靠性变得不再必要，转而追求快速迭代与容错能力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然而，RLV的高频次发射也带来了新的环境外部性问题。研究表明，火箭发动机燃烧产生的黑碳和氧化铝颗粒在平流层积聚，可能对臭氧层恢复产生负面影响[6]。这一发现提示，在评估太空进入技术时，必须将全生命周期的环境影响纳入考量，而非仅关注发射成本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3.2 深空通信与在轨服务技术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随着探测目标向月球背面及火星延伸，传统的地基深空网（DSN）面临带宽瓶颈。激光通信终端（Optical Communication Terminals）的应用显著提升了数据传输速率。例如，NASA的Psyche任务演示了每秒267兆比特的深空激光通信能力，较传统射频技术提升10-100倍[7]。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与此同时，在轨服务、组装与制造（ISAM）技术正在从概念走向实践。诺斯罗普·格鲁曼公司的“任务扩展飞行器”（MEV）成功与国际通信卫星对接并延长其寿命，证明了在轨加油与轨道转移的商业可行性[8]。ISAM技术不仅延长了资产寿命，减少了太空碎片的产生，还为未来大型空间结构（如太空太阳能电站）的在轨组装奠定了技术基础。但该技术也引发了“双用途”担忧，即具备接近与捕获能力的卫星可能被武器化为反卫星武器（ASAT），从而加剧太空安全困境[9]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4 商业航天的崛起与产业生态重塑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商业航天不再仅仅是政府的承包商，而是逐渐成为太空活动的主导者。通过垂直整合与创新商业模式，私营企业正在重塑太空产业的价值链。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4.1 垂直整合与星座经济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以SpaceX为代表的企业采取了极致的垂直整合策略，自主研发火箭、飞船、卫星及地面终端，极大缩短了供应链响应时间并降低了交易成本[10]。星链（Starlink）计划的实施标志着太空产业从“项目制”向“规模化制造”转变。截至2024年初，星链在轨卫星数量已超过5,000颗，占据了LEO轨道资源的显著份额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这种“星座经济”模式引发了强烈的马太效应：拥有发射运力优势的企业能够以更低成本部署更大规模星座，进而通过规模效应摊薄研发成本，形成竞争壁垒。相比之下，传统航天巨头因依赖外包供应链，在响应速度和成本控制上处于劣势。然而，巨型星座也导致了天文观测干扰及轨道碰撞概率激增，据欧洲空间局（ESA）统计，LEO区域的避撞机动次数在过去五年中增加了十倍[11]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4.2 太空旅游与亚轨道市场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太空旅游标志着太空活动从“精英专属”向“高净值大众”拓展。蓝色起源的“新谢泼德”号（New Shepard）和维珍银河的“团结”号（VSS Unity）分别采用了垂直起飞垂直降落（VTVL）和空中发射滑翔返回两种技术路径[12]。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尽管目前市场规模有限，但其象征意义在于验证了亚轨道飞行的安全性与可重复性。然而，该行业面临严格的监管审查，特别是关于乘客安全标准、环境影响及责任保险的法律框架尚不完善。此外，太空旅游的高碳排放特性使其在环保主义语境下备受争议，限制了其社会许可（Social License）的获取[13]。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5 太空治理的挑战与国际政策演变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技术商业化带来的负外部性超出了现有国际法律体系的承载能力。1967年《外层空间条约》确立的“自由探索”与“不得据为己有”原则，在面对资源开发与轨道拥挤时显得捉襟见肘。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5.1 轨道资源竞争与太空碎片治理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LEO轨道和频谱资源具有稀缺性与排他性。虽然《外层空间条约》规定太空不得通过主权要求据为己有，但“先占先得”的事实标准导致了对优质轨道槽位和频率资源的激烈竞争[14]。这种竞争性占用引发了“公地悲剧”风险，即个体理性（最大化发射卫星）导致集体非理性（轨道不可用）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在碎片治理方面，现有的减缓指南（如IADC指南）缺乏法律约束力。主动碎片清除（ADR）技术虽已成熟，但涉及复杂的法律问题：谁有权清除他国废弃卫星？清除过程中的损害责任如何界定？目前国际社会尚未就ADR的法律授权达成一致，导致技术就绪而制度缺位[15]。</w:t>
      </w:r>
    </w:p>
    <w:p>
      <w:pPr>
        <w:spacing w:line="400" w:lineRule="exact" w:before="240" w:after="120"/>
      </w:pPr>
      <w:r>
        <w:rPr>
          <w:rFonts w:ascii="Times New Roman" w:hAnsi="Times New Roman" w:eastAsia="SimHei"/>
          <w:b/>
          <w:i w:val="0"/>
          <w:sz w:val="24"/>
        </w:rPr>
        <w:t>5.2 月球资源开发与《阿尔忒弥斯协定》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随着月球水冰资源的确认，资源开采成为焦点。美国主导的《阿尔忒弥斯协定》（Artemis Accords）试图通过双边协议网络建立“安全区”（Safety Zones）和资源提取规范，主张资源提取不等同于主权占有[16]。然而，该协定被批评具有排他性，且未得到俄罗斯、中国等主要航天国家的签署。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与此相对，中俄提出的“国际月球科研站”（ILRS）倡议强调开放合作与多边主义。两种模式的并存反映了地缘政治在太空领域的投射。若无法建立包容性的多边规则，月球可能重现地球上的地缘分裂，阻碍科学合作的深化[17]。因此，亟需在联合国和平利用外层空间委员会（COPUOS）框架下，制定具有普遍约束力的资源开发行为准则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6 讨论：迈向多层级太空治理框架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基于上述分析，当前太空治理的核心矛盾在于：全球化的技术-商业网络与碎片化的国家主权治理之间的错位。为解决这一张力，本研究提出构建“多层级太空治理框架”。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首先，在操作层面，应建立强制性的近地轨道交通管理系统（STM）。借鉴航空界的空中交通管制经验，由国际电信联盟（ITU）或新设国际机构统筹轨道数据共享与碰撞预警，将自愿性的碎片减缓指南转化为强制性技术标准[18]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其次，在制度层面，需重构资源开发规则。建议在COPUOS框架下设立专门工作组，区分“科学采样”与“商业开采”，确立透明、非歧视的资源登记制度，以缓解《外层空间条约》第二条的解释争议。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最后，在地缘层面，推动大国间的“太空危机沟通机制”。鉴于反卫星试验及在轨逼近事件的频发，建立类似美苏热线的双边或多边军事信任措施，防止误判升级为冲突[19]。这一框架强调技术标准的硬约束与外交对话的软协调相结合，以适应商业航天时代的复杂性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7 结论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本研究系统梳理了深空探测技术、商业航天趋势及国际政策现状，得出以下结论：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第一，可重复使用运载器与卫星互联网技术已根本性降低太空进入门槛，推动太空活动从“国家能力展示”转向“规模化商业应用”，但同时也加剧了轨道环境的脆弱性。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第二，商业航天的垂直整合模式提升了效率，但导致了市场垄断风险及轨道资源分配的不平等，现有法律体系在应对私人实体行为及资源权属问题上存在显著滞后。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第三，国际太空治理正处于十字路口，单边或小多边机制（如《阿尔忒弥斯协定》）的兴起削弱了联合国的中心地位，亟需建立包容性的多层级治理框架，以平衡创新激励与太空可持续性。</w:t>
      </w:r>
    </w:p>
    <w:p>
      <w:pPr>
        <w:spacing w:line="400" w:lineRule="exact" w:before="0" w:after="0"/>
        <w:ind w:firstLine="420"/>
        <w:jc w:val="both"/>
      </w:pPr>
      <w:r>
        <w:rPr>
          <w:rFonts w:ascii="Times New Roman" w:hAnsi="Times New Roman" w:eastAsia="SimSun"/>
          <w:b w:val="0"/>
          <w:i w:val="0"/>
          <w:sz w:val="21"/>
        </w:rPr>
        <w:t>研究局限在于，由于商业航天数据的非公开性，部分经济性分析依赖于估算值。未来研究可结合实时轨道数据与大模型仿真，量化不同治理策略对轨道环境长期稳定性的影响，并深入探讨新兴航天国家在全球治理中的角色定位。</w:t>
      </w:r>
    </w:p>
    <w:p>
      <w:pPr>
        <w:spacing w:line="400" w:lineRule="exact" w:before="320" w:after="160"/>
      </w:pPr>
      <w:r>
        <w:rPr>
          <w:rFonts w:ascii="Times New Roman" w:hAnsi="Times New Roman" w:eastAsia="SimHei"/>
          <w:b/>
          <w:i w:val="0"/>
          <w:sz w:val="28"/>
        </w:rPr>
        <w:t>参考文献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[1] Mazzucato M. Mission-oriented innovation policies: challenges and opportunities[J]. Industrial and Corporate Change,2018,27(5):803-815.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[2] Federal Aviation Administration. The annual compendium of commercial space transportation: 2023[R]. Washington D.C.: FAA,2023.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[3] Rao A G, Martinez I S, Kretschmer T. Managing the space debris threat: How incumbent firms can leverage digital technologies[J]. Academy of Management Perspectives,2022,36(2):345-365.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[4] Hughes T P. Rescuing Prometheus[M]. New York: Pantheon Books,1998.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[5] Jones H. The recent large reduction in space launch cost[C]//48th International Conference on Environmental Systems. Albuquerque: ICES,2018:1-10.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[6] Ross M N, Sheaffer P M. Impact of rocket launch and space debris air pollutant emissions on stratospheric ozone and global climate[J]. Earth's Future,2022,10(3):e2021EF002612.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[7] NASA. NASA's deep space optical communications demo sets record[OL]. (2023-11-15)[2024-05-20]. https://www.nasa.gov/dsoc-demo.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[8] Weigel M. On-orbit servicing: a new era in space operations[J]. Space Policy,2020,51:101358.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[9] Acton J, James A. Dual-use dilemmas in space: the case of on-orbit servicing[J]. Survival,2021,63(4):7-24.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[10] Dawson R. SpaceX and the disruptor's advantage: vertical integration in the space industry[J]. Business Horizons,2021,64(3):345-356.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[11] European Space Agency. ESA annual space environment report 2023[R]. Darmstadt: ESA,2023.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[12] Cohen A. The economics of suborbital space tourism[J]. Journal of Space Law,2019,43(1):1-28.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[13] Schwartz J. The environmental ethics of space tourism[J]. Environmental Ethics,2022,44(2):123-140.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[14] Jakhu R S, Pelton J N. Global space governance: an overview[J]. Space Policy,2019,47:1-10.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[15] Freeland S. Legal aspects of active debris removal: current status and future prospects[J]. Air and Space Law,2021,46(3):289-310.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[16] US Department of State. The Artemis Accords: principles for cooperation in the civil exploration and use of the moon, mars, comets, and asteroids[OL]. (2020-10-13)[2024-05-20]. https://www.state.gov/artemis-accords.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[17] 张孝荣,李明.国际月球科研站建设的法律挑战与对策[J].国际法研究,2023(4):56-72.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[18] Hitchens T. Toward a comprehensive space traffic management system[J]. Space Review,2022,21(15):12-18.</w:t>
      </w:r>
    </w:p>
    <w:p>
      <w:pPr>
        <w:spacing w:line="320" w:lineRule="exact" w:before="0" w:after="40"/>
      </w:pPr>
      <w:r>
        <w:rPr>
          <w:rFonts w:ascii="Times New Roman" w:hAnsi="Times New Roman" w:eastAsia="SimSun"/>
          <w:b w:val="0"/>
          <w:i w:val="0"/>
          <w:sz w:val="18"/>
        </w:rPr>
        <w:t>[19] Logsdon J M. Building confidence in space: the need for new norms of behavior[J]. Orbis,2020,64(2):234-250.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00" w:lineRule="exact" w:before="0" w:after="0"/>
    </w:pPr>
    <w:rPr>
      <w:rFonts w:ascii="Times New Roman" w:hAnsi="Times New Roman" w:eastAsia="SimSu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